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pPr>
    </w:p>
    <w:p>
      <w:pPr>
        <w:jc w:val="center"/>
      </w:pPr>
      <w:r>
        <w:rPr>
          <w:rFonts w:ascii="Calibri" w:cs="Calibri" w:eastAsia="Calibri" w:hAnsi="Calibri"/>
          <w:b/>
          <w:bCs/>
          <w:color w:val="347643"/>
          <w:sz w:val="26"/>
          <w:szCs w:val="26"/>
        </w:rPr>
        <w:t xml:space="preserve">SIMUNYE SATYA BHARAT FOUNDATION</w:t>
      </w:r>
    </w:p>
    <w:p>
      <w:pPr>
        <w:spacing w:before="200"/>
        <w:jc w:val="center"/>
      </w:pPr>
      <w:r>
        <w:rPr>
          <w:rFonts w:ascii="Calibri" w:cs="Calibri" w:eastAsia="Calibri" w:hAnsi="Calibri"/>
          <w:b/>
          <w:bCs/>
          <w:color w:val="3A3A3A"/>
          <w:sz w:val="64"/>
          <w:szCs w:val="64"/>
        </w:rPr>
        <w:t xml:space="preserve">Water for Schools</w:t>
      </w:r>
    </w:p>
    <w:p>
      <w:pPr>
        <w:spacing w:after="600" w:before="100"/>
        <w:jc w:val="center"/>
      </w:pPr>
      <w:r>
        <w:rPr>
          <w:rFonts w:ascii="Calibri" w:cs="Calibri" w:eastAsia="Calibri" w:hAnsi="Calibri"/>
          <w:color w:val="FD3913"/>
          <w:sz w:val="36"/>
          <w:szCs w:val="36"/>
        </w:rPr>
        <w:t xml:space="preserve">Business Plan</w:t>
      </w:r>
    </w:p>
    <w:p>
      <w:pPr>
        <w:jc w:val="center"/>
      </w:pPr>
      <w:r>
        <w:rPr>
          <w:rFonts w:ascii="Calibri" w:cs="Calibri" w:eastAsia="Calibri" w:hAnsi="Calibri"/>
          <w:color w:val="6C6C6C"/>
          <w:sz w:val="22"/>
          <w:szCs w:val="22"/>
        </w:rPr>
        <w:t xml:space="preserve">Prepared by SSB Foundation NPC (Reg. No. 2024/542394/08)</w:t>
      </w:r>
    </w:p>
    <w:p>
      <w:pPr>
        <w:jc w:val="center"/>
      </w:pPr>
      <w:r>
        <w:rPr>
          <w:rFonts w:ascii="Calibri" w:cs="Calibri" w:eastAsia="Calibri" w:hAnsi="Calibri"/>
          <w:color w:val="6C6C6C"/>
          <w:sz w:val="22"/>
          <w:szCs w:val="22"/>
        </w:rPr>
        <w:t xml:space="preserve">trading as Simunye Satya Bharat Foundation (SSBF)</w:t>
      </w:r>
    </w:p>
    <w:p>
      <w:pPr>
        <w:spacing w:before="400"/>
        <w:jc w:val="center"/>
      </w:pPr>
      <w:r>
        <w:rPr>
          <w:rFonts w:ascii="Calibri" w:cs="Calibri" w:eastAsia="Calibri" w:hAnsi="Calibri"/>
          <w:color w:val="6C6C6C"/>
          <w:sz w:val="20"/>
          <w:szCs w:val="20"/>
        </w:rPr>
        <w:t xml:space="preserve">September 2026</w:t>
      </w:r>
    </w:p>
    <w:p>
      <w:pPr>
        <w:spacing w:before="1600"/>
        <w:jc w:val="center"/>
      </w:pPr>
      <w:r>
        <w:rPr>
          <w:rFonts w:ascii="Calibri" w:cs="Calibri" w:eastAsia="Calibri" w:hAnsi="Calibri"/>
          <w:color w:val="6C6C6C"/>
          <w:sz w:val="20"/>
          <w:szCs w:val="20"/>
        </w:rPr>
        <w:t xml:space="preserve">info@simunyesatya.org   ·   simunyesatya.org</w:t>
      </w:r>
    </w:p>
    <w:p>
      <w:pPr>
        <w:jc w:val="center"/>
      </w:pPr>
      <w:r>
        <w:rPr>
          <w:rFonts w:ascii="Calibri" w:cs="Calibri" w:eastAsia="Calibri" w:hAnsi="Calibri"/>
          <w:color w:val="6C6C6C"/>
          <w:sz w:val="20"/>
          <w:szCs w:val="20"/>
        </w:rPr>
        <w:t xml:space="preserve">The Centenary, 30 Meridian Drive, Umhlanga, 4319</w:t>
      </w:r>
    </w:p>
    <w:p>
      <w:pPr>
        <w:sectPr>
          <w:pgSz w:w="11906" w:h="16838" w:orient="portrait"/>
          <w:pgMar w:top="1440" w:right="1440" w:bottom="1440" w:left="1440" w:header="708" w:footer="708" w:gutter="0"/>
          <w:pgNumType/>
          <w:docGrid w:linePitch="360"/>
        </w:sectPr>
      </w:pPr>
    </w:p>
    <w:p>
      <w:pPr>
        <w:pStyle w:val="Heading1"/>
        <w:pBdr>
          <w:bottom w:val="single" w:color="347643" w:sz="8" w:space="4"/>
        </w:pBdr>
        <w:spacing w:after="200" w:before="400"/>
      </w:pPr>
      <w:r>
        <w:rPr>
          <w:rFonts w:ascii="Calibri" w:cs="Calibri" w:eastAsia="Calibri" w:hAnsi="Calibri"/>
          <w:b/>
          <w:bCs/>
          <w:color w:val="347643"/>
          <w:sz w:val="30"/>
          <w:szCs w:val="30"/>
        </w:rPr>
        <w:t xml:space="preserve">1.  Executive Summary</w:t>
      </w:r>
    </w:p>
    <w:p>
      <w:pPr>
        <w:spacing w:after="160" w:line="300"/>
      </w:pPr>
      <w:r>
        <w:rPr>
          <w:rFonts w:ascii="Calibri" w:cs="Calibri" w:eastAsia="Calibri" w:hAnsi="Calibri"/>
          <w:color w:val="3A3A3A"/>
          <w:sz w:val="22"/>
          <w:szCs w:val="22"/>
        </w:rPr>
        <w:t xml:space="preserve">Simunye Satya Bharat Foundation (SSBF) is a South African non-profit company established to uplift the Phoenix community in Durban, KwaZulu-Natal. This business plan sets out SSBF's founding initiative — the Water for Schools project — which will install backup water storage and pump systems at schools across Phoenix that are affected by chronic municipal water disruption.</w:t>
      </w:r>
    </w:p>
    <w:p>
      <w:pPr>
        <w:spacing w:after="160" w:line="300"/>
      </w:pPr>
      <w:r>
        <w:rPr>
          <w:rFonts w:ascii="Calibri" w:cs="Calibri" w:eastAsia="Calibri" w:hAnsi="Calibri"/>
          <w:color w:val="3A3A3A"/>
          <w:sz w:val="22"/>
          <w:szCs w:val="22"/>
        </w:rPr>
        <w:t xml:space="preserve">Phoenix schools currently lose an estimated 15–30 teaching days a year to water-related closures. Toilets cannot flush, learners cannot wash their hands, and science practicals are abandoned when taps run dry — often for 14 to 16 hours a day. SSBF's solution is a proven, right-sized backup system: bulk water storage, a multi-stage centrifugal pump, and a pressure controller, engineered specifically for the demands of a functioning school.</w:t>
      </w:r>
    </w:p>
    <w:p>
      <w:pPr>
        <w:spacing w:after="160" w:line="300"/>
      </w:pPr>
      <w:r>
        <w:rPr>
          <w:rFonts w:ascii="Calibri" w:cs="Calibri" w:eastAsia="Calibri" w:hAnsi="Calibri"/>
          <w:color w:val="3A3A3A"/>
          <w:sz w:val="22"/>
          <w:szCs w:val="22"/>
        </w:rPr>
        <w:t xml:space="preserve">The estimated cost to fully equip one school is R50,000. SSBF is seeking corporate, community and international funding partners to sponsor schools individually or in bulk (5 or 10 schools), with sponsor branding placed at every school funded. Water for Schools is Phase 1 of a broader seven-phase plan to rebuild Phoenix from the school gate outward, covering solar power, facility upgrades, community safety, and digital access for education.</w:t>
      </w:r>
    </w:p>
    <w:p>
      <w:pPr>
        <w:spacing w:after="200" w:before="100"/>
      </w:pPr>
      <w:r>
        <w:rPr>
          <w:rFonts w:ascii="Calibri" w:cs="Calibri" w:eastAsia="Calibri" w:hAnsi="Calibri"/>
          <w:b/>
          <w:bCs/>
          <w:color w:val="3A3A3A"/>
          <w:sz w:val="22"/>
          <w:szCs w:val="22"/>
        </w:rPr>
        <w:t xml:space="preserve">Key figures at a glance:</w:t>
      </w:r>
    </w:p>
    <w:p>
      <w:pPr>
        <w:spacing w:after="60"/>
      </w:pPr>
      <w:r>
        <w:rPr>
          <w:rFonts w:ascii="Calibri" w:cs="Calibri" w:eastAsia="Calibri" w:hAnsi="Calibri"/>
          <w:b/>
          <w:bCs/>
          <w:color w:val="FD3913"/>
          <w:sz w:val="22"/>
          <w:szCs w:val="22"/>
        </w:rPr>
        <w:t xml:space="preserve">14–16 hours  </w:t>
      </w:r>
      <w:r>
        <w:rPr>
          <w:rFonts w:ascii="Calibri" w:cs="Calibri" w:eastAsia="Calibri" w:hAnsi="Calibri"/>
          <w:color w:val="3A3A3A"/>
          <w:sz w:val="22"/>
          <w:szCs w:val="22"/>
        </w:rPr>
        <w:t xml:space="preserve">of daily water disruption across Phoenix</w:t>
      </w:r>
    </w:p>
    <w:p>
      <w:pPr>
        <w:spacing w:after="60"/>
      </w:pPr>
      <w:r>
        <w:rPr>
          <w:rFonts w:ascii="Calibri" w:cs="Calibri" w:eastAsia="Calibri" w:hAnsi="Calibri"/>
          <w:b/>
          <w:bCs/>
          <w:color w:val="FD3913"/>
          <w:sz w:val="22"/>
          <w:szCs w:val="22"/>
        </w:rPr>
        <w:t xml:space="preserve">15–30 days  </w:t>
      </w:r>
      <w:r>
        <w:rPr>
          <w:rFonts w:ascii="Calibri" w:cs="Calibri" w:eastAsia="Calibri" w:hAnsi="Calibri"/>
          <w:color w:val="3A3A3A"/>
          <w:sz w:val="22"/>
          <w:szCs w:val="22"/>
        </w:rPr>
        <w:t xml:space="preserve">teaching days lost per school, per year</w:t>
      </w:r>
    </w:p>
    <w:p>
      <w:pPr>
        <w:spacing w:after="60"/>
      </w:pPr>
      <w:r>
        <w:rPr>
          <w:rFonts w:ascii="Calibri" w:cs="Calibri" w:eastAsia="Calibri" w:hAnsi="Calibri"/>
          <w:b/>
          <w:bCs/>
          <w:color w:val="FD3913"/>
          <w:sz w:val="22"/>
          <w:szCs w:val="22"/>
        </w:rPr>
        <w:t xml:space="preserve">R50,000  </w:t>
      </w:r>
      <w:r>
        <w:rPr>
          <w:rFonts w:ascii="Calibri" w:cs="Calibri" w:eastAsia="Calibri" w:hAnsi="Calibri"/>
          <w:color w:val="3A3A3A"/>
          <w:sz w:val="22"/>
          <w:szCs w:val="22"/>
        </w:rPr>
        <w:t xml:space="preserve">estimated cost to fully equip one school</w:t>
      </w:r>
    </w:p>
    <w:p>
      <w:pPr>
        <w:spacing w:after="60"/>
      </w:pPr>
      <w:r>
        <w:rPr>
          <w:rFonts w:ascii="Calibri" w:cs="Calibri" w:eastAsia="Calibri" w:hAnsi="Calibri"/>
          <w:b/>
          <w:bCs/>
          <w:color w:val="FD3913"/>
          <w:sz w:val="22"/>
          <w:szCs w:val="22"/>
        </w:rPr>
        <w:t xml:space="preserve">≈200,000  </w:t>
      </w:r>
      <w:r>
        <w:rPr>
          <w:rFonts w:ascii="Calibri" w:cs="Calibri" w:eastAsia="Calibri" w:hAnsi="Calibri"/>
          <w:color w:val="3A3A3A"/>
          <w:sz w:val="22"/>
          <w:szCs w:val="22"/>
        </w:rPr>
        <w:t xml:space="preserve">residents living in Phoenix today</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2.  About Simunye Satya Bharat Foundation</w:t>
      </w:r>
    </w:p>
    <w:p>
      <w:pPr>
        <w:pStyle w:val="Heading2"/>
        <w:spacing w:after="140" w:before="260"/>
      </w:pPr>
      <w:r>
        <w:rPr>
          <w:rFonts w:ascii="Calibri" w:cs="Calibri" w:eastAsia="Calibri" w:hAnsi="Calibri"/>
          <w:b/>
          <w:bCs/>
          <w:color w:val="3A3A3A"/>
          <w:sz w:val="24"/>
          <w:szCs w:val="24"/>
        </w:rPr>
        <w:t xml:space="preserve">2.1  Organisation Overview</w:t>
      </w:r>
    </w:p>
    <w:p>
      <w:pPr>
        <w:spacing w:after="160" w:line="300"/>
      </w:pPr>
      <w:r>
        <w:rPr>
          <w:rFonts w:ascii="Calibri" w:cs="Calibri" w:eastAsia="Calibri" w:hAnsi="Calibri"/>
          <w:color w:val="3A3A3A"/>
          <w:sz w:val="22"/>
          <w:szCs w:val="22"/>
        </w:rPr>
        <w:t xml:space="preserve">SSBF is registered as SSB Foundation NPC under registration number 2024/542394/08, operating under the trading name Simunye Satya Bharat Foundation. SSBF is a Phoenix-born, Durban-based non-profit company built on the belief that communities rise fastest when they take responsibility for their own future.</w:t>
      </w:r>
    </w:p>
    <w:p>
      <w:pPr>
        <w:spacing w:after="160" w:line="300"/>
      </w:pPr>
      <w:r>
        <w:rPr>
          <w:rFonts w:ascii="Calibri" w:cs="Calibri" w:eastAsia="Calibri" w:hAnsi="Calibri"/>
          <w:color w:val="3A3A3A"/>
          <w:sz w:val="22"/>
          <w:szCs w:val="22"/>
        </w:rPr>
        <w:t xml:space="preserve">SSBF is in the process of registering as a Public Benefit Organisation (PBO), which will allow the Foundation to issue Section 18A tax certificates to South African donors once approval is received from the South African Revenue Service (SARS). The Foundation is also establishing dedicated bookkeeping and independent auditing functions to ensure transparent financial management and reporting to funders and the public.</w:t>
      </w:r>
    </w:p>
    <w:p>
      <w:pPr>
        <w:pStyle w:val="Heading2"/>
        <w:spacing w:after="140" w:before="260"/>
      </w:pPr>
      <w:r>
        <w:rPr>
          <w:rFonts w:ascii="Calibri" w:cs="Calibri" w:eastAsia="Calibri" w:hAnsi="Calibri"/>
          <w:b/>
          <w:bCs/>
          <w:color w:val="3A3A3A"/>
          <w:sz w:val="24"/>
          <w:szCs w:val="24"/>
        </w:rPr>
        <w:t xml:space="preserve">2.2  Mission</w:t>
      </w:r>
    </w:p>
    <w:p>
      <w:pPr>
        <w:spacing w:after="160" w:line="300"/>
      </w:pPr>
      <w:r>
        <w:rPr>
          <w:rFonts w:ascii="Calibri" w:cs="Calibri" w:eastAsia="Calibri" w:hAnsi="Calibri"/>
          <w:color w:val="3A3A3A"/>
          <w:sz w:val="22"/>
          <w:szCs w:val="22"/>
        </w:rPr>
        <w:t xml:space="preserve">To restore dignity, continuity and opportunity to Phoenix schools and families by delivering practical, community-driven infrastructure solutions — starting with water — and by building the systems of self-reliance that allow the community to sustain its own upliftment.</w:t>
      </w:r>
    </w:p>
    <w:p>
      <w:pPr>
        <w:pStyle w:val="Heading2"/>
        <w:spacing w:after="140" w:before="260"/>
      </w:pPr>
      <w:r>
        <w:rPr>
          <w:rFonts w:ascii="Calibri" w:cs="Calibri" w:eastAsia="Calibri" w:hAnsi="Calibri"/>
          <w:b/>
          <w:bCs/>
          <w:color w:val="3A3A3A"/>
          <w:sz w:val="24"/>
          <w:szCs w:val="24"/>
        </w:rPr>
        <w:t xml:space="preserve">2.3  Vision</w:t>
      </w:r>
    </w:p>
    <w:p>
      <w:pPr>
        <w:spacing w:after="160" w:line="300"/>
      </w:pPr>
      <w:r>
        <w:rPr>
          <w:rFonts w:ascii="Calibri" w:cs="Calibri" w:eastAsia="Calibri" w:hAnsi="Calibri"/>
          <w:color w:val="3A3A3A"/>
          <w:sz w:val="22"/>
          <w:szCs w:val="22"/>
        </w:rPr>
        <w:t xml:space="preserve">A Phoenix where every school has the water, power and facilities it needs to teach without interruption, where retired professionals mentor the next generation, and where the community funds and manages its own upliftment — rising, like its namesake, from hardship into renewal.</w:t>
      </w:r>
    </w:p>
    <w:p>
      <w:pPr>
        <w:pStyle w:val="Heading2"/>
        <w:spacing w:after="140" w:before="260"/>
      </w:pPr>
      <w:r>
        <w:rPr>
          <w:rFonts w:ascii="Calibri" w:cs="Calibri" w:eastAsia="Calibri" w:hAnsi="Calibri"/>
          <w:b/>
          <w:bCs/>
          <w:color w:val="3A3A3A"/>
          <w:sz w:val="24"/>
          <w:szCs w:val="24"/>
        </w:rPr>
        <w:t xml:space="preserve">2.4  Our Values</w:t>
      </w:r>
    </w:p>
    <w:p>
      <w:pPr>
        <w:pStyle w:val="ListParagraph"/>
        <w:numPr>
          <w:ilvl w:val="0"/>
          <w:numId w:val="2"/>
        </w:numPr>
        <w:spacing w:after="90"/>
      </w:pPr>
      <w:r>
        <w:rPr>
          <w:rFonts w:ascii="Calibri" w:cs="Calibri" w:eastAsia="Calibri" w:hAnsi="Calibri"/>
          <w:color w:val="3A3A3A"/>
          <w:sz w:val="22"/>
          <w:szCs w:val="22"/>
        </w:rPr>
        <w:t xml:space="preserve">Simunye — Unity: rallying together across culture, religion and background.</w:t>
      </w:r>
    </w:p>
    <w:p>
      <w:pPr>
        <w:pStyle w:val="ListParagraph"/>
        <w:numPr>
          <w:ilvl w:val="0"/>
          <w:numId w:val="2"/>
        </w:numPr>
        <w:spacing w:after="90"/>
      </w:pPr>
      <w:r>
        <w:rPr>
          <w:rFonts w:ascii="Calibri" w:cs="Calibri" w:eastAsia="Calibri" w:hAnsi="Calibri"/>
          <w:color w:val="3A3A3A"/>
          <w:sz w:val="22"/>
          <w:szCs w:val="22"/>
        </w:rPr>
        <w:t xml:space="preserve">Satya — Truth &amp; Integrity: transparent use of every rand raised.</w:t>
      </w:r>
    </w:p>
    <w:p>
      <w:pPr>
        <w:pStyle w:val="ListParagraph"/>
        <w:numPr>
          <w:ilvl w:val="0"/>
          <w:numId w:val="2"/>
        </w:numPr>
        <w:spacing w:after="90"/>
      </w:pPr>
      <w:r>
        <w:rPr>
          <w:rFonts w:ascii="Calibri" w:cs="Calibri" w:eastAsia="Calibri" w:hAnsi="Calibri"/>
          <w:color w:val="3A3A3A"/>
          <w:sz w:val="22"/>
          <w:szCs w:val="22"/>
        </w:rPr>
        <w:t xml:space="preserve">Education First: education as the single greatest lever for lifting a family and a community.</w:t>
      </w:r>
    </w:p>
    <w:p>
      <w:pPr>
        <w:pStyle w:val="ListParagraph"/>
        <w:numPr>
          <w:ilvl w:val="0"/>
          <w:numId w:val="2"/>
        </w:numPr>
        <w:spacing w:after="90"/>
      </w:pPr>
      <w:r>
        <w:rPr>
          <w:rFonts w:ascii="Calibri" w:cs="Calibri" w:eastAsia="Calibri" w:hAnsi="Calibri"/>
          <w:color w:val="3A3A3A"/>
          <w:sz w:val="22"/>
          <w:szCs w:val="22"/>
        </w:rPr>
        <w:t xml:space="preserve">Self-Reliance: building the tools for Phoenix to uplift itself, rather than waiting on others.</w:t>
      </w:r>
    </w:p>
    <w:p>
      <w:pPr>
        <w:pStyle w:val="ListParagraph"/>
        <w:numPr>
          <w:ilvl w:val="0"/>
          <w:numId w:val="2"/>
        </w:numPr>
        <w:spacing w:after="90"/>
      </w:pPr>
      <w:r>
        <w:rPr>
          <w:rFonts w:ascii="Calibri" w:cs="Calibri" w:eastAsia="Calibri" w:hAnsi="Calibri"/>
          <w:color w:val="3A3A3A"/>
          <w:sz w:val="22"/>
          <w:szCs w:val="22"/>
        </w:rPr>
        <w:t xml:space="preserve">Generational Investment: each generation leaving the next a better starting point.</w:t>
      </w:r>
    </w:p>
    <w:p>
      <w:pPr>
        <w:pStyle w:val="ListParagraph"/>
        <w:numPr>
          <w:ilvl w:val="0"/>
          <w:numId w:val="2"/>
        </w:numPr>
        <w:spacing w:after="90"/>
      </w:pPr>
      <w:r>
        <w:rPr>
          <w:rFonts w:ascii="Calibri" w:cs="Calibri" w:eastAsia="Calibri" w:hAnsi="Calibri"/>
          <w:color w:val="3A3A3A"/>
          <w:sz w:val="22"/>
          <w:szCs w:val="22"/>
        </w:rPr>
        <w:t xml:space="preserve">Practical Impact: favouring durable infrastructure and measurable outcomes over once-off gestures.</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3.  Background &amp; Problem Statement</w:t>
      </w:r>
    </w:p>
    <w:p>
      <w:pPr>
        <w:pStyle w:val="Heading2"/>
        <w:spacing w:after="140" w:before="260"/>
      </w:pPr>
      <w:r>
        <w:rPr>
          <w:rFonts w:ascii="Calibri" w:cs="Calibri" w:eastAsia="Calibri" w:hAnsi="Calibri"/>
          <w:b/>
          <w:bCs/>
          <w:color w:val="3A3A3A"/>
          <w:sz w:val="24"/>
          <w:szCs w:val="24"/>
        </w:rPr>
        <w:t xml:space="preserve">3.1  About Phoenix</w:t>
      </w:r>
    </w:p>
    <w:p>
      <w:pPr>
        <w:spacing w:after="160" w:line="300"/>
      </w:pPr>
      <w:r>
        <w:rPr>
          <w:rFonts w:ascii="Calibri" w:cs="Calibri" w:eastAsia="Calibri" w:hAnsi="Calibri"/>
          <w:color w:val="3A3A3A"/>
          <w:sz w:val="22"/>
          <w:szCs w:val="22"/>
        </w:rPr>
        <w:t xml:space="preserve">Phoenix, north of Durban, traces its roots to land settled by Mahatma Gandhi in 1904, and to the formal township established in 1976 to house low-income families relocated under apartheid-era planning. It is one of the largest Indian communities in the world outside India, and today is home to approximately 200,000 people.</w:t>
      </w:r>
    </w:p>
    <w:p>
      <w:pPr>
        <w:spacing w:after="160" w:line="300"/>
      </w:pPr>
      <w:r>
        <w:rPr>
          <w:rFonts w:ascii="Calibri" w:cs="Calibri" w:eastAsia="Calibri" w:hAnsi="Calibri"/>
          <w:color w:val="3A3A3A"/>
          <w:sz w:val="22"/>
          <w:szCs w:val="22"/>
        </w:rPr>
        <w:t xml:space="preserve">Despite significant socio-economic challenges over the past two decades — including rising crime, unemployment and ageing infrastructure — Phoenix continues to produce entrepreneurs, medical specialists, engineers, academics and civic leaders who carry their home township's name with pride around the world.</w:t>
      </w:r>
    </w:p>
    <w:p>
      <w:pPr>
        <w:pStyle w:val="Heading2"/>
        <w:spacing w:after="140" w:before="260"/>
      </w:pPr>
      <w:r>
        <w:rPr>
          <w:rFonts w:ascii="Calibri" w:cs="Calibri" w:eastAsia="Calibri" w:hAnsi="Calibri"/>
          <w:b/>
          <w:bCs/>
          <w:color w:val="3A3A3A"/>
          <w:sz w:val="24"/>
          <w:szCs w:val="24"/>
        </w:rPr>
        <w:t xml:space="preserve">3.2  The Water Crisis</w:t>
      </w:r>
    </w:p>
    <w:p>
      <w:pPr>
        <w:spacing w:after="160" w:line="300"/>
      </w:pPr>
      <w:r>
        <w:rPr>
          <w:rFonts w:ascii="Calibri" w:cs="Calibri" w:eastAsia="Calibri" w:hAnsi="Calibri"/>
          <w:color w:val="3A3A3A"/>
          <w:sz w:val="22"/>
          <w:szCs w:val="22"/>
        </w:rPr>
        <w:t xml:space="preserve">Phoenix experiences daily water disruptions of approximately 14 to 16 hours, with supply typically returning only in the late night or early morning. Some areas go without any water supply at all for days or weeks at a time.</w:t>
      </w:r>
    </w:p>
    <w:p>
      <w:pPr>
        <w:spacing w:after="160" w:line="300"/>
      </w:pPr>
      <w:r>
        <w:rPr>
          <w:rFonts w:ascii="Calibri" w:cs="Calibri" w:eastAsia="Calibri" w:hAnsi="Calibri"/>
          <w:color w:val="3A3A3A"/>
          <w:sz w:val="22"/>
          <w:szCs w:val="22"/>
        </w:rPr>
        <w:t xml:space="preserve">Contributing factors include:</w:t>
      </w:r>
    </w:p>
    <w:p>
      <w:pPr>
        <w:pStyle w:val="ListParagraph"/>
        <w:numPr>
          <w:ilvl w:val="0"/>
          <w:numId w:val="2"/>
        </w:numPr>
        <w:spacing w:after="90"/>
      </w:pPr>
      <w:r>
        <w:rPr>
          <w:rFonts w:ascii="Calibri" w:cs="Calibri" w:eastAsia="Calibri" w:hAnsi="Calibri"/>
          <w:color w:val="3A3A3A"/>
          <w:sz w:val="22"/>
          <w:szCs w:val="22"/>
        </w:rPr>
        <w:t xml:space="preserve">Ageing pipe infrastructure, with an estimated 50–60% (in places higher) of treated water lost to leaks before reaching homes and schools.</w:t>
      </w:r>
    </w:p>
    <w:p>
      <w:pPr>
        <w:pStyle w:val="ListParagraph"/>
        <w:numPr>
          <w:ilvl w:val="0"/>
          <w:numId w:val="2"/>
        </w:numPr>
        <w:spacing w:after="90"/>
      </w:pPr>
      <w:r>
        <w:rPr>
          <w:rFonts w:ascii="Calibri" w:cs="Calibri" w:eastAsia="Calibri" w:hAnsi="Calibri"/>
          <w:color w:val="3A3A3A"/>
          <w:sz w:val="22"/>
          <w:szCs w:val="22"/>
        </w:rPr>
        <w:t xml:space="preserve">Electricity load shedding disrupting water pumping stations.</w:t>
      </w:r>
    </w:p>
    <w:p>
      <w:pPr>
        <w:pStyle w:val="ListParagraph"/>
        <w:numPr>
          <w:ilvl w:val="0"/>
          <w:numId w:val="2"/>
        </w:numPr>
        <w:spacing w:after="90"/>
      </w:pPr>
      <w:r>
        <w:rPr>
          <w:rFonts w:ascii="Calibri" w:cs="Calibri" w:eastAsia="Calibri" w:hAnsi="Calibri"/>
          <w:color w:val="3A3A3A"/>
          <w:sz w:val="22"/>
          <w:szCs w:val="22"/>
        </w:rPr>
        <w:t xml:space="preserve">Maintenance backlogs and a shortage of municipal plumbing staff.</w:t>
      </w:r>
    </w:p>
    <w:p>
      <w:pPr>
        <w:pStyle w:val="ListParagraph"/>
        <w:numPr>
          <w:ilvl w:val="0"/>
          <w:numId w:val="2"/>
        </w:numPr>
        <w:spacing w:after="90"/>
      </w:pPr>
      <w:r>
        <w:rPr>
          <w:rFonts w:ascii="Calibri" w:cs="Calibri" w:eastAsia="Calibri" w:hAnsi="Calibri"/>
          <w:color w:val="3A3A3A"/>
          <w:sz w:val="22"/>
          <w:szCs w:val="22"/>
        </w:rPr>
        <w:t xml:space="preserve">Damage from the 2022 KwaZulu-Natal floods that has not been fully repaired.</w:t>
      </w:r>
    </w:p>
    <w:p>
      <w:pPr>
        <w:pStyle w:val="ListParagraph"/>
        <w:numPr>
          <w:ilvl w:val="0"/>
          <w:numId w:val="2"/>
        </w:numPr>
        <w:spacing w:after="90"/>
      </w:pPr>
      <w:r>
        <w:rPr>
          <w:rFonts w:ascii="Calibri" w:cs="Calibri" w:eastAsia="Calibri" w:hAnsi="Calibri"/>
          <w:color w:val="3A3A3A"/>
          <w:sz w:val="22"/>
          <w:szCs w:val="22"/>
        </w:rPr>
        <w:t xml:space="preserve">Reported instances of infrastructure being deliberately disabled to create demand for costly emergency repairs or private water-tanker contracts — a pattern widely reported across South Africa as the "water mafia".</w:t>
      </w:r>
    </w:p>
    <w:p>
      <w:pPr>
        <w:pStyle w:val="Heading2"/>
        <w:spacing w:after="140" w:before="260"/>
      </w:pPr>
      <w:r>
        <w:rPr>
          <w:rFonts w:ascii="Calibri" w:cs="Calibri" w:eastAsia="Calibri" w:hAnsi="Calibri"/>
          <w:b/>
          <w:bCs/>
          <w:color w:val="3A3A3A"/>
          <w:sz w:val="24"/>
          <w:szCs w:val="24"/>
        </w:rPr>
        <w:t xml:space="preserve">3.3  Impact on Education</w:t>
      </w:r>
    </w:p>
    <w:p>
      <w:pPr>
        <w:spacing w:after="160" w:line="300"/>
      </w:pPr>
      <w:r>
        <w:rPr>
          <w:rFonts w:ascii="Calibri" w:cs="Calibri" w:eastAsia="Calibri" w:hAnsi="Calibri"/>
          <w:color w:val="3A3A3A"/>
          <w:sz w:val="22"/>
          <w:szCs w:val="22"/>
        </w:rPr>
        <w:t xml:space="preserve">The impact on schools is severe and immediate. When water stops, schools are frequently unable to operate:</w:t>
      </w:r>
    </w:p>
    <w:p>
      <w:pPr>
        <w:pStyle w:val="ListParagraph"/>
        <w:numPr>
          <w:ilvl w:val="0"/>
          <w:numId w:val="2"/>
        </w:numPr>
        <w:spacing w:after="90"/>
      </w:pPr>
      <w:r>
        <w:rPr>
          <w:rFonts w:ascii="Calibri" w:cs="Calibri" w:eastAsia="Calibri" w:hAnsi="Calibri"/>
          <w:color w:val="3A3A3A"/>
          <w:sz w:val="22"/>
          <w:szCs w:val="22"/>
        </w:rPr>
        <w:t xml:space="preserve">Toilets cannot be flushed, creating unsanitary conditions and forcing early dismissals.</w:t>
      </w:r>
    </w:p>
    <w:p>
      <w:pPr>
        <w:pStyle w:val="ListParagraph"/>
        <w:numPr>
          <w:ilvl w:val="0"/>
          <w:numId w:val="2"/>
        </w:numPr>
        <w:spacing w:after="90"/>
      </w:pPr>
      <w:r>
        <w:rPr>
          <w:rFonts w:ascii="Calibri" w:cs="Calibri" w:eastAsia="Calibri" w:hAnsi="Calibri"/>
          <w:color w:val="3A3A3A"/>
          <w:sz w:val="22"/>
          <w:szCs w:val="22"/>
        </w:rPr>
        <w:t xml:space="preserve">Learners — particularly menstruating girls without access to private, functional sanitation — are forced to stay home entirely.</w:t>
      </w:r>
    </w:p>
    <w:p>
      <w:pPr>
        <w:pStyle w:val="ListParagraph"/>
        <w:numPr>
          <w:ilvl w:val="0"/>
          <w:numId w:val="2"/>
        </w:numPr>
        <w:spacing w:after="90"/>
      </w:pPr>
      <w:r>
        <w:rPr>
          <w:rFonts w:ascii="Calibri" w:cs="Calibri" w:eastAsia="Calibri" w:hAnsi="Calibri"/>
          <w:color w:val="3A3A3A"/>
          <w:sz w:val="22"/>
          <w:szCs w:val="22"/>
        </w:rPr>
        <w:t xml:space="preserve">Hand-washing becomes impossible, raising the risk of preventable waterborne illness.</w:t>
      </w:r>
    </w:p>
    <w:p>
      <w:pPr>
        <w:pStyle w:val="ListParagraph"/>
        <w:numPr>
          <w:ilvl w:val="0"/>
          <w:numId w:val="2"/>
        </w:numPr>
        <w:spacing w:after="90"/>
      </w:pPr>
      <w:r>
        <w:rPr>
          <w:rFonts w:ascii="Calibri" w:cs="Calibri" w:eastAsia="Calibri" w:hAnsi="Calibri"/>
          <w:color w:val="3A3A3A"/>
          <w:sz w:val="22"/>
          <w:szCs w:val="22"/>
        </w:rPr>
        <w:t xml:space="preserve">Science and biology practicals are abandoned, since experiments, equipment cleaning and safety showers all require water.</w:t>
      </w:r>
    </w:p>
    <w:p>
      <w:pPr>
        <w:pStyle w:val="ListParagraph"/>
        <w:numPr>
          <w:ilvl w:val="0"/>
          <w:numId w:val="2"/>
        </w:numPr>
        <w:spacing w:after="90"/>
      </w:pPr>
      <w:r>
        <w:rPr>
          <w:rFonts w:ascii="Calibri" w:cs="Calibri" w:eastAsia="Calibri" w:hAnsi="Calibri"/>
          <w:color w:val="3A3A3A"/>
          <w:sz w:val="22"/>
          <w:szCs w:val="22"/>
        </w:rPr>
        <w:t xml:space="preserve">Bottled drinking water is unaffordable for most low-income households, increasing the risk of heat exhaustion and dehydration during KwaZulu-Natal's hot summer months.</w:t>
      </w:r>
    </w:p>
    <w:p>
      <w:pPr>
        <w:spacing w:after="160" w:line="300"/>
      </w:pPr>
      <w:r>
        <w:rPr>
          <w:rFonts w:ascii="Calibri" w:cs="Calibri" w:eastAsia="Calibri" w:hAnsi="Calibri"/>
          <w:color w:val="3A3A3A"/>
          <w:sz w:val="22"/>
          <w:szCs w:val="22"/>
        </w:rPr>
        <w:t xml:space="preserve">Schools in the worst-affected sectors of Phoenix are estimated to lose 15 to 30 teaching days per academic year as a direct result. This compounds an already serious national learning crisis — South African Grade 4 learners rank poorly on international reading and numeracy benchmarks, and every lost day of structured teaching time further erodes foundational learning.</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4.  The Project: Water for Schools</w:t>
      </w:r>
    </w:p>
    <w:p>
      <w:pPr>
        <w:pStyle w:val="Heading2"/>
        <w:spacing w:after="140" w:before="260"/>
      </w:pPr>
      <w:r>
        <w:rPr>
          <w:rFonts w:ascii="Calibri" w:cs="Calibri" w:eastAsia="Calibri" w:hAnsi="Calibri"/>
          <w:b/>
          <w:bCs/>
          <w:color w:val="3A3A3A"/>
          <w:sz w:val="24"/>
          <w:szCs w:val="24"/>
        </w:rPr>
        <w:t xml:space="preserve">4.1  Project Objective</w:t>
      </w:r>
    </w:p>
    <w:p>
      <w:pPr>
        <w:spacing w:after="160" w:line="300"/>
      </w:pPr>
      <w:r>
        <w:rPr>
          <w:rFonts w:ascii="Calibri" w:cs="Calibri" w:eastAsia="Calibri" w:hAnsi="Calibri"/>
          <w:color w:val="3A3A3A"/>
          <w:sz w:val="22"/>
          <w:szCs w:val="22"/>
        </w:rPr>
        <w:t xml:space="preserve">To install a reliable backup water storage and pump system at each participating Phoenix school, ensuring toilets, hand-washing stations, drinking water points and science labs remain functional through municipal water cuts — protecting teaching time and learner dignity and health.</w:t>
      </w:r>
    </w:p>
    <w:p>
      <w:pPr>
        <w:pStyle w:val="Heading2"/>
        <w:spacing w:after="140" w:before="260"/>
      </w:pPr>
      <w:r>
        <w:rPr>
          <w:rFonts w:ascii="Calibri" w:cs="Calibri" w:eastAsia="Calibri" w:hAnsi="Calibri"/>
          <w:b/>
          <w:bCs/>
          <w:color w:val="3A3A3A"/>
          <w:sz w:val="24"/>
          <w:szCs w:val="24"/>
        </w:rPr>
        <w:t xml:space="preserve">4.2  Technical Solution</w:t>
      </w:r>
    </w:p>
    <w:p>
      <w:pPr>
        <w:spacing w:after="160" w:line="300"/>
      </w:pPr>
      <w:r>
        <w:rPr>
          <w:rFonts w:ascii="Calibri" w:cs="Calibri" w:eastAsia="Calibri" w:hAnsi="Calibri"/>
          <w:color w:val="3A3A3A"/>
          <w:sz w:val="22"/>
          <w:szCs w:val="22"/>
        </w:rPr>
        <w:t xml:space="preserve">A standard household (peripheral) pump is unsuitable for a school environment: it cannot sustain the flow rate required when many toilets and taps are used simultaneously, such as during break times. For a school of approximately 500 learners — with an estimated 48 toilets, 36 hand basins and 6 outdoor taps — peak demand can reach 150 to 250 litres per minute. SSBF's system is engineered specifically for this demand and consists of three components:</w:t>
      </w:r>
    </w:p>
    <w:p>
      <w:pPr>
        <w:pStyle w:val="ListParagraph"/>
        <w:numPr>
          <w:ilvl w:val="0"/>
          <w:numId w:val="2"/>
        </w:numPr>
        <w:spacing w:after="90"/>
      </w:pPr>
      <w:r>
        <w:rPr>
          <w:rFonts w:ascii="Calibri" w:cs="Calibri" w:eastAsia="Calibri" w:hAnsi="Calibri"/>
          <w:color w:val="3A3A3A"/>
          <w:sz w:val="22"/>
          <w:szCs w:val="22"/>
        </w:rPr>
        <w:t xml:space="preserve">Bulk Water Storage: two 5,000-litre vertical storage tanks (JoJo-type or equivalent) linked in series on a concrete base, providing 7,500–10,000 litres of backup capacity — enough for a full day of water cuts. Larger schools can be scaled up to 15,000–20,000 litres.</w:t>
      </w:r>
    </w:p>
    <w:p>
      <w:pPr>
        <w:pStyle w:val="ListParagraph"/>
        <w:numPr>
          <w:ilvl w:val="0"/>
          <w:numId w:val="2"/>
        </w:numPr>
        <w:spacing w:after="90"/>
      </w:pPr>
      <w:r>
        <w:rPr>
          <w:rFonts w:ascii="Calibri" w:cs="Calibri" w:eastAsia="Calibri" w:hAnsi="Calibri"/>
          <w:color w:val="3A3A3A"/>
          <w:sz w:val="22"/>
          <w:szCs w:val="22"/>
        </w:rPr>
        <w:t xml:space="preserve">Multi-Stage Centrifugal Pump: a 1.5–2.2kW pump capable of delivering over 200 litres per minute while maintaining steady pressure — well beyond the 35–40 L/min ceiling of a standard peripheral pump.</w:t>
      </w:r>
    </w:p>
    <w:p>
      <w:pPr>
        <w:pStyle w:val="ListParagraph"/>
        <w:numPr>
          <w:ilvl w:val="0"/>
          <w:numId w:val="2"/>
        </w:numPr>
        <w:spacing w:after="90"/>
      </w:pPr>
      <w:r>
        <w:rPr>
          <w:rFonts w:ascii="Calibri" w:cs="Calibri" w:eastAsia="Calibri" w:hAnsi="Calibri"/>
          <w:color w:val="3A3A3A"/>
          <w:sz w:val="22"/>
          <w:szCs w:val="22"/>
        </w:rPr>
        <w:t xml:space="preserve">Variable Speed Drive (VSD) / Pressure Controller: automatically scales pump output to match demand, from a single tap to full break-time load, protecting the pump motor from the rapid on/off cycling that would otherwise burn it out.</w:t>
      </w:r>
    </w:p>
    <w:p>
      <w:pPr>
        <w:spacing w:after="160" w:line="300"/>
      </w:pPr>
      <w:r>
        <w:rPr>
          <w:rFonts w:ascii="Calibri" w:cs="Calibri" w:eastAsia="Calibri" w:hAnsi="Calibri"/>
          <w:color w:val="3A3A3A"/>
          <w:sz w:val="22"/>
          <w:szCs w:val="22"/>
        </w:rPr>
        <w:t xml:space="preserve">System flow: Storage Tanks → Multi-Stage Pump → VSD / Pressure Controller → School Water Mains.</w:t>
      </w:r>
    </w:p>
    <w:p>
      <w:pPr>
        <w:pStyle w:val="Heading2"/>
        <w:spacing w:after="140" w:before="260"/>
      </w:pPr>
      <w:r>
        <w:rPr>
          <w:rFonts w:ascii="Calibri" w:cs="Calibri" w:eastAsia="Calibri" w:hAnsi="Calibri"/>
          <w:b/>
          <w:bCs/>
          <w:color w:val="3A3A3A"/>
          <w:sz w:val="24"/>
          <w:szCs w:val="24"/>
        </w:rPr>
        <w:t xml:space="preserve">4.3  Optional Enhancements</w:t>
      </w:r>
    </w:p>
    <w:p>
      <w:pPr>
        <w:spacing w:after="160" w:line="300"/>
      </w:pPr>
      <w:r>
        <w:rPr>
          <w:rFonts w:ascii="Calibri" w:cs="Calibri" w:eastAsia="Calibri" w:hAnsi="Calibri"/>
          <w:color w:val="3A3A3A"/>
          <w:sz w:val="22"/>
          <w:szCs w:val="22"/>
        </w:rPr>
        <w:t xml:space="preserve">Depending on funding and individual school needs, the core system can be extended with:</w:t>
      </w:r>
    </w:p>
    <w:p>
      <w:pPr>
        <w:pStyle w:val="ListParagraph"/>
        <w:numPr>
          <w:ilvl w:val="0"/>
          <w:numId w:val="2"/>
        </w:numPr>
        <w:spacing w:after="90"/>
      </w:pPr>
      <w:r>
        <w:rPr>
          <w:rFonts w:ascii="Calibri" w:cs="Calibri" w:eastAsia="Calibri" w:hAnsi="Calibri"/>
          <w:color w:val="3A3A3A"/>
          <w:sz w:val="22"/>
          <w:szCs w:val="22"/>
        </w:rPr>
        <w:t xml:space="preserve">A fenced, lockable security cage protecting the pump and tanks from tampering or theft.</w:t>
      </w:r>
    </w:p>
    <w:p>
      <w:pPr>
        <w:pStyle w:val="ListParagraph"/>
        <w:numPr>
          <w:ilvl w:val="0"/>
          <w:numId w:val="2"/>
        </w:numPr>
        <w:spacing w:after="90"/>
      </w:pPr>
      <w:r>
        <w:rPr>
          <w:rFonts w:ascii="Calibri" w:cs="Calibri" w:eastAsia="Calibri" w:hAnsi="Calibri"/>
          <w:color w:val="3A3A3A"/>
          <w:sz w:val="22"/>
          <w:szCs w:val="22"/>
        </w:rPr>
        <w:t xml:space="preserve">A secondary rainwater harvesting system dedicated to toilet flushing, further reducing reliance on municipal supply.</w:t>
      </w:r>
    </w:p>
    <w:p>
      <w:pPr>
        <w:pStyle w:val="ListParagraph"/>
        <w:numPr>
          <w:ilvl w:val="0"/>
          <w:numId w:val="2"/>
        </w:numPr>
        <w:spacing w:after="90"/>
      </w:pPr>
      <w:r>
        <w:rPr>
          <w:rFonts w:ascii="Calibri" w:cs="Calibri" w:eastAsia="Calibri" w:hAnsi="Calibri"/>
          <w:color w:val="3A3A3A"/>
          <w:sz w:val="22"/>
          <w:szCs w:val="22"/>
        </w:rPr>
        <w:t xml:space="preserve">Water filtration at a minimum of two outlets per school, providing learners with safe drinking water on site.</w:t>
      </w:r>
    </w:p>
    <w:p>
      <w:pPr>
        <w:pStyle w:val="Heading2"/>
        <w:spacing w:after="140" w:before="260"/>
      </w:pPr>
      <w:r>
        <w:rPr>
          <w:rFonts w:ascii="Calibri" w:cs="Calibri" w:eastAsia="Calibri" w:hAnsi="Calibri"/>
          <w:b/>
          <w:bCs/>
          <w:color w:val="3A3A3A"/>
          <w:sz w:val="24"/>
          <w:szCs w:val="24"/>
        </w:rPr>
        <w:t xml:space="preserve">4.4  Benefits to Participating Schools</w:t>
      </w:r>
    </w:p>
    <w:p>
      <w:pPr>
        <w:pStyle w:val="ListParagraph"/>
        <w:numPr>
          <w:ilvl w:val="0"/>
          <w:numId w:val="2"/>
        </w:numPr>
        <w:spacing w:after="90"/>
      </w:pPr>
      <w:r>
        <w:rPr>
          <w:rFonts w:ascii="Calibri" w:cs="Calibri" w:eastAsia="Calibri" w:hAnsi="Calibri"/>
          <w:color w:val="3A3A3A"/>
          <w:sz w:val="22"/>
          <w:szCs w:val="22"/>
        </w:rPr>
        <w:t xml:space="preserve">No more early dismissals or lost teaching days due to dry taps.</w:t>
      </w:r>
    </w:p>
    <w:p>
      <w:pPr>
        <w:pStyle w:val="ListParagraph"/>
        <w:numPr>
          <w:ilvl w:val="0"/>
          <w:numId w:val="2"/>
        </w:numPr>
        <w:spacing w:after="90"/>
      </w:pPr>
      <w:r>
        <w:rPr>
          <w:rFonts w:ascii="Calibri" w:cs="Calibri" w:eastAsia="Calibri" w:hAnsi="Calibri"/>
          <w:color w:val="3A3A3A"/>
          <w:sz w:val="22"/>
          <w:szCs w:val="22"/>
        </w:rPr>
        <w:t xml:space="preserve">Functioning toilets and hand-washing stations year-round, improving hygiene, dignity and health outcomes.</w:t>
      </w:r>
    </w:p>
    <w:p>
      <w:pPr>
        <w:pStyle w:val="ListParagraph"/>
        <w:numPr>
          <w:ilvl w:val="0"/>
          <w:numId w:val="2"/>
        </w:numPr>
        <w:spacing w:after="90"/>
      </w:pPr>
      <w:r>
        <w:rPr>
          <w:rFonts w:ascii="Calibri" w:cs="Calibri" w:eastAsia="Calibri" w:hAnsi="Calibri"/>
          <w:color w:val="3A3A3A"/>
          <w:sz w:val="22"/>
          <w:szCs w:val="22"/>
        </w:rPr>
        <w:t xml:space="preserve">Uninterrupted science and biology practicals.</w:t>
      </w:r>
    </w:p>
    <w:p>
      <w:pPr>
        <w:pStyle w:val="ListParagraph"/>
        <w:numPr>
          <w:ilvl w:val="0"/>
          <w:numId w:val="2"/>
        </w:numPr>
        <w:spacing w:after="90"/>
      </w:pPr>
      <w:r>
        <w:rPr>
          <w:rFonts w:ascii="Calibri" w:cs="Calibri" w:eastAsia="Calibri" w:hAnsi="Calibri"/>
          <w:color w:val="3A3A3A"/>
          <w:sz w:val="22"/>
          <w:szCs w:val="22"/>
        </w:rPr>
        <w:t xml:space="preserve">Safe, reliable drinking water on site.</w:t>
      </w:r>
    </w:p>
    <w:p>
      <w:pPr>
        <w:pStyle w:val="ListParagraph"/>
        <w:numPr>
          <w:ilvl w:val="0"/>
          <w:numId w:val="2"/>
        </w:numPr>
        <w:spacing w:after="90"/>
      </w:pPr>
      <w:r>
        <w:rPr>
          <w:rFonts w:ascii="Calibri" w:cs="Calibri" w:eastAsia="Calibri" w:hAnsi="Calibri"/>
          <w:color w:val="3A3A3A"/>
          <w:sz w:val="22"/>
          <w:szCs w:val="22"/>
        </w:rPr>
        <w:t xml:space="preserve">A foundation for future SSBF phases — solar power, facility upgrades and community programmes.</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5.  Implementation Plan</w:t>
      </w:r>
    </w:p>
    <w:p>
      <w:pPr>
        <w:pStyle w:val="Heading2"/>
        <w:spacing w:after="140" w:before="260"/>
      </w:pPr>
      <w:r>
        <w:rPr>
          <w:rFonts w:ascii="Calibri" w:cs="Calibri" w:eastAsia="Calibri" w:hAnsi="Calibri"/>
          <w:b/>
          <w:bCs/>
          <w:color w:val="3A3A3A"/>
          <w:sz w:val="24"/>
          <w:szCs w:val="24"/>
        </w:rPr>
        <w:t xml:space="preserve">5.1  School Engagement Process</w:t>
      </w:r>
    </w:p>
    <w:p>
      <w:pPr>
        <w:pStyle w:val="ListParagraph"/>
        <w:numPr>
          <w:ilvl w:val="0"/>
          <w:numId w:val="2"/>
        </w:numPr>
        <w:spacing w:after="90"/>
      </w:pPr>
      <w:r>
        <w:rPr>
          <w:rFonts w:ascii="Calibri" w:cs="Calibri" w:eastAsia="Calibri" w:hAnsi="Calibri"/>
          <w:color w:val="3A3A3A"/>
          <w:sz w:val="22"/>
          <w:szCs w:val="22"/>
        </w:rPr>
        <w:t xml:space="preserve">SSBF meets with the school principal and presents a short introductory overview of the project.</w:t>
      </w:r>
    </w:p>
    <w:p>
      <w:pPr>
        <w:pStyle w:val="ListParagraph"/>
        <w:numPr>
          <w:ilvl w:val="0"/>
          <w:numId w:val="2"/>
        </w:numPr>
        <w:spacing w:after="90"/>
      </w:pPr>
      <w:r>
        <w:rPr>
          <w:rFonts w:ascii="Calibri" w:cs="Calibri" w:eastAsia="Calibri" w:hAnsi="Calibri"/>
          <w:color w:val="3A3A3A"/>
          <w:sz w:val="22"/>
          <w:szCs w:val="22"/>
        </w:rPr>
        <w:t xml:space="preserve">The school nominates one point of contact — the principal, a Head of Department, a teacher, or a member of the School Governing Body (SGB).</w:t>
      </w:r>
    </w:p>
    <w:p>
      <w:pPr>
        <w:pStyle w:val="ListParagraph"/>
        <w:numPr>
          <w:ilvl w:val="0"/>
          <w:numId w:val="2"/>
        </w:numPr>
        <w:spacing w:after="90"/>
      </w:pPr>
      <w:r>
        <w:rPr>
          <w:rFonts w:ascii="Calibri" w:cs="Calibri" w:eastAsia="Calibri" w:hAnsi="Calibri"/>
          <w:color w:val="3A3A3A"/>
          <w:sz w:val="22"/>
          <w:szCs w:val="22"/>
        </w:rPr>
        <w:t xml:space="preserve">The school and SSBF sign a Memorandum of Understanding (MOU), under which the school permits SSBF and sponsor branding to be installed on site and opts in to participate in future SSBF pilot projects for the benefit of learners and the wider community.</w:t>
      </w:r>
    </w:p>
    <w:p>
      <w:pPr>
        <w:pStyle w:val="ListParagraph"/>
        <w:numPr>
          <w:ilvl w:val="0"/>
          <w:numId w:val="2"/>
        </w:numPr>
        <w:spacing w:after="90"/>
      </w:pPr>
      <w:r>
        <w:rPr>
          <w:rFonts w:ascii="Calibri" w:cs="Calibri" w:eastAsia="Calibri" w:hAnsi="Calibri"/>
          <w:color w:val="3A3A3A"/>
          <w:sz w:val="22"/>
          <w:szCs w:val="22"/>
        </w:rPr>
        <w:t xml:space="preserve">SSBF secures funding for the installation through corporate, community or individual sponsors.</w:t>
      </w:r>
    </w:p>
    <w:p>
      <w:pPr>
        <w:pStyle w:val="ListParagraph"/>
        <w:numPr>
          <w:ilvl w:val="0"/>
          <w:numId w:val="2"/>
        </w:numPr>
        <w:spacing w:after="90"/>
      </w:pPr>
      <w:r>
        <w:rPr>
          <w:rFonts w:ascii="Calibri" w:cs="Calibri" w:eastAsia="Calibri" w:hAnsi="Calibri"/>
          <w:color w:val="3A3A3A"/>
          <w:sz w:val="22"/>
          <w:szCs w:val="22"/>
        </w:rPr>
        <w:t xml:space="preserve">The system is installed, tested and formally handed over to the school.</w:t>
      </w:r>
    </w:p>
    <w:p>
      <w:pPr>
        <w:pStyle w:val="Heading2"/>
        <w:spacing w:after="140" w:before="260"/>
      </w:pPr>
      <w:r>
        <w:rPr>
          <w:rFonts w:ascii="Calibri" w:cs="Calibri" w:eastAsia="Calibri" w:hAnsi="Calibri"/>
          <w:b/>
          <w:bCs/>
          <w:color w:val="3A3A3A"/>
          <w:sz w:val="24"/>
          <w:szCs w:val="24"/>
        </w:rPr>
        <w:t xml:space="preserve">5.2  Stakeholder Database</w:t>
      </w:r>
    </w:p>
    <w:p>
      <w:pPr>
        <w:spacing w:after="160" w:line="300"/>
      </w:pPr>
      <w:r>
        <w:rPr>
          <w:rFonts w:ascii="Calibri" w:cs="Calibri" w:eastAsia="Calibri" w:hAnsi="Calibri"/>
          <w:color w:val="3A3A3A"/>
          <w:sz w:val="22"/>
          <w:szCs w:val="22"/>
        </w:rPr>
        <w:t xml:space="preserve">Alongside school engagement, SSBF is building a database of community stakeholders to coordinate current and future projects, including principals, teachers, SGB members, local councillors, Community Policing Forum (CPF) members, local SAPS representatives, private security companies, Phoenix Child Welfare and other local NPOs/NGOs, and community leaders.</w:t>
      </w:r>
    </w:p>
    <w:p>
      <w:pPr>
        <w:pStyle w:val="Heading2"/>
        <w:spacing w:after="140" w:before="260"/>
      </w:pPr>
      <w:r>
        <w:rPr>
          <w:rFonts w:ascii="Calibri" w:cs="Calibri" w:eastAsia="Calibri" w:hAnsi="Calibri"/>
          <w:b/>
          <w:bCs/>
          <w:color w:val="3A3A3A"/>
          <w:sz w:val="24"/>
          <w:szCs w:val="24"/>
        </w:rPr>
        <w:t xml:space="preserve">5.3  Indicative Timeline (per school cohort)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1800"/>
        <w:gridCol w:w="5150"/>
      </w:tblGrid>
      <w:tr>
        <w:tc>
          <w:tcPr>
            <w:tcW w:type="dxa" w:w="24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Phase</w:t>
            </w:r>
          </w:p>
        </w:tc>
        <w:tc>
          <w:tcPr>
            <w:tcW w:type="dxa" w:w="18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Timeframe</w:t>
            </w:r>
          </w:p>
        </w:tc>
        <w:tc>
          <w:tcPr>
            <w:tcW w:type="dxa" w:w="515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Activity</w:t>
            </w:r>
          </w:p>
        </w:tc>
      </w:tr>
      <w:tr>
        <w:tc>
          <w:tcPr>
            <w:tcW w:type="dxa" w:w="24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Engagement</w:t>
            </w:r>
          </w:p>
        </w:tc>
        <w:tc>
          <w:tcPr>
            <w:tcW w:type="dxa" w:w="18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Month 1</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Meet principals, present the project, confirm points of contact.</w:t>
            </w:r>
          </w:p>
        </w:tc>
      </w:tr>
      <w:tr>
        <w:tc>
          <w:tcPr>
            <w:tcW w:type="dxa" w:w="24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Agreements &amp; Funding</w:t>
            </w:r>
          </w:p>
        </w:tc>
        <w:tc>
          <w:tcPr>
            <w:tcW w:type="dxa" w:w="18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Month 2</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Sign MOUs; finalise sponsor / donor commitments per school.</w:t>
            </w:r>
          </w:p>
        </w:tc>
      </w:tr>
      <w:tr>
        <w:tc>
          <w:tcPr>
            <w:tcW w:type="dxa" w:w="24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Procurement</w:t>
            </w:r>
          </w:p>
        </w:tc>
        <w:tc>
          <w:tcPr>
            <w:tcW w:type="dxa" w:w="18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Month 3</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Order tanks, pumps, controllers &amp; materials; schedule installation.</w:t>
            </w:r>
          </w:p>
        </w:tc>
      </w:tr>
      <w:tr>
        <w:tc>
          <w:tcPr>
            <w:tcW w:type="dxa" w:w="24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Installation</w:t>
            </w:r>
          </w:p>
        </w:tc>
        <w:tc>
          <w:tcPr>
            <w:tcW w:type="dxa" w:w="18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Month 4</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Install and pressure-test systems; sponsor branding placed.</w:t>
            </w:r>
          </w:p>
        </w:tc>
      </w:tr>
      <w:tr>
        <w:tc>
          <w:tcPr>
            <w:tcW w:type="dxa" w:w="24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Handover &amp; Review</w:t>
            </w:r>
          </w:p>
        </w:tc>
        <w:tc>
          <w:tcPr>
            <w:tcW w:type="dxa" w:w="18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Month 5+</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Handover to school; quarterly maintenance check-ins begin.</w:t>
            </w:r>
          </w:p>
        </w:tc>
      </w:tr>
    </w:tbl>
    <w:p>
      <w:pPr>
        <w:spacing w:after="160" w:line="300"/>
      </w:pPr>
      <w:r>
        <w:rPr>
          <w:rFonts w:ascii="Calibri" w:cs="Calibri" w:eastAsia="Calibri" w:hAnsi="Calibri"/>
          <w:color w:val="3A3A3A"/>
          <w:sz w:val="22"/>
          <w:szCs w:val="22"/>
        </w:rPr>
        <w:t xml:space="preserve"> </w:t>
      </w:r>
    </w:p>
    <w:p>
      <w:pPr>
        <w:spacing w:after="160" w:line="300"/>
      </w:pPr>
      <w:r>
        <w:rPr>
          <w:rFonts w:ascii="Calibri" w:cs="Calibri" w:eastAsia="Calibri" w:hAnsi="Calibri"/>
          <w:color w:val="3A3A3A"/>
          <w:sz w:val="22"/>
          <w:szCs w:val="22"/>
        </w:rPr>
        <w:t xml:space="preserve">Multiple school cohorts can run in parallel as funding allows, meaning the overall programme timeline scales with the pace of sponsorship secured rather than a fixed calendar.</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6.  Project Costing</w:t>
      </w:r>
    </w:p>
    <w:p>
      <w:pPr>
        <w:pStyle w:val="Heading2"/>
        <w:spacing w:after="140" w:before="260"/>
      </w:pPr>
      <w:r>
        <w:rPr>
          <w:rFonts w:ascii="Calibri" w:cs="Calibri" w:eastAsia="Calibri" w:hAnsi="Calibri"/>
          <w:b/>
          <w:bCs/>
          <w:color w:val="3A3A3A"/>
          <w:sz w:val="24"/>
          <w:szCs w:val="24"/>
        </w:rPr>
        <w:t xml:space="preserve">6.1  Core System — Itemised Cost (per school)</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6350"/>
        <w:gridCol w:w="3000"/>
      </w:tblGrid>
      <w:tr>
        <w:tc>
          <w:tcPr>
            <w:tcW w:type="dxa" w:w="635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Component</w:t>
            </w:r>
          </w:p>
        </w:tc>
        <w:tc>
          <w:tcPr>
            <w:tcW w:type="dxa" w:w="30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Estimated Cost</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Water / JoJo-type Tank (5,000L) × 2</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R12,000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Pump (2.2kW) with Controller</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R8,000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Pump Controller (backup / alternative option)</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R500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Ball Flat Valve × 2</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Concrete Base (2m × 4m / 8m²)</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R5,000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Rubber Base Mat (2m × 4m / 8m²)</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R1,500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Piping &amp; Fittings</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R5,000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Pump Cover</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R1,000</w:t>
            </w:r>
          </w:p>
        </w:tc>
      </w:tr>
      <w:tr>
        <w:tc>
          <w:tcPr>
            <w:tcW w:type="dxa" w:w="6350"/>
            <w:shd w:fill="FBF6EE" w:val="clear"/>
            <w:tcMar>
              <w:top w:type="dxa" w:w="100"/>
              <w:left w:type="dxa" w:w="120"/>
              <w:bottom w:type="dxa" w:w="100"/>
              <w:right w:type="dxa" w:w="120"/>
            </w:tcMar>
          </w:tcPr>
          <w:p>
            <w:pPr>
              <w:jc w:val="left"/>
            </w:pPr>
            <w:r>
              <w:rPr>
                <w:rFonts w:ascii="Calibri" w:cs="Calibri" w:eastAsia="Calibri" w:hAnsi="Calibri"/>
                <w:b/>
                <w:bCs/>
                <w:color w:val="347643"/>
                <w:sz w:val="20"/>
                <w:szCs w:val="20"/>
              </w:rPr>
              <w:t xml:space="preserve">Sub-total (materials)</w:t>
            </w:r>
          </w:p>
        </w:tc>
        <w:tc>
          <w:tcPr>
            <w:tcW w:type="dxa" w:w="3000"/>
            <w:shd w:fill="FBF6EE" w:val="clear"/>
            <w:tcMar>
              <w:top w:type="dxa" w:w="100"/>
              <w:left w:type="dxa" w:w="120"/>
              <w:bottom w:type="dxa" w:w="100"/>
              <w:right w:type="dxa" w:w="120"/>
            </w:tcMar>
          </w:tcPr>
          <w:p>
            <w:pPr>
              <w:jc w:val="right"/>
            </w:pPr>
            <w:r>
              <w:rPr>
                <w:rFonts w:ascii="Calibri" w:cs="Calibri" w:eastAsia="Calibri" w:hAnsi="Calibri"/>
                <w:b/>
                <w:bCs/>
                <w:color w:val="347643"/>
                <w:sz w:val="20"/>
                <w:szCs w:val="20"/>
              </w:rPr>
              <w:t xml:space="preserve">R34,000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Labour</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R10,000</w:t>
            </w:r>
          </w:p>
        </w:tc>
      </w:tr>
      <w:tr>
        <w:tc>
          <w:tcPr>
            <w:tcW w:type="dxa" w:w="6350"/>
            <w:shd w:fill="FBF6EE" w:val="clear"/>
            <w:tcMar>
              <w:top w:type="dxa" w:w="100"/>
              <w:left w:type="dxa" w:w="120"/>
              <w:bottom w:type="dxa" w:w="100"/>
              <w:right w:type="dxa" w:w="120"/>
            </w:tcMar>
          </w:tcPr>
          <w:p>
            <w:pPr>
              <w:jc w:val="left"/>
            </w:pPr>
            <w:r>
              <w:rPr>
                <w:rFonts w:ascii="Calibri" w:cs="Calibri" w:eastAsia="Calibri" w:hAnsi="Calibri"/>
                <w:b/>
                <w:bCs/>
                <w:color w:val="347643"/>
                <w:sz w:val="20"/>
                <w:szCs w:val="20"/>
              </w:rPr>
              <w:t xml:space="preserve">TOTAL (per school)</w:t>
            </w:r>
          </w:p>
        </w:tc>
        <w:tc>
          <w:tcPr>
            <w:tcW w:type="dxa" w:w="3000"/>
            <w:shd w:fill="FBF6EE" w:val="clear"/>
            <w:tcMar>
              <w:top w:type="dxa" w:w="100"/>
              <w:left w:type="dxa" w:w="120"/>
              <w:bottom w:type="dxa" w:w="100"/>
              <w:right w:type="dxa" w:w="120"/>
            </w:tcMar>
          </w:tcPr>
          <w:p>
            <w:pPr>
              <w:jc w:val="right"/>
            </w:pPr>
            <w:r>
              <w:rPr>
                <w:rFonts w:ascii="Calibri" w:cs="Calibri" w:eastAsia="Calibri" w:hAnsi="Calibri"/>
                <w:b/>
                <w:bCs/>
                <w:color w:val="347643"/>
                <w:sz w:val="20"/>
                <w:szCs w:val="20"/>
              </w:rPr>
              <w:t xml:space="preserve">R44,000 — rounded to R50,000</w:t>
            </w:r>
          </w:p>
        </w:tc>
      </w:tr>
    </w:tbl>
    <w:p>
      <w:pPr>
        <w:spacing w:after="160" w:line="300"/>
      </w:pPr>
      <w:r>
        <w:rPr>
          <w:rFonts w:ascii="Calibri" w:cs="Calibri" w:eastAsia="Calibri" w:hAnsi="Calibri"/>
          <w:color w:val="3A3A3A"/>
          <w:sz w:val="22"/>
          <w:szCs w:val="22"/>
        </w:rPr>
        <w:t xml:space="preserve"> </w:t>
      </w:r>
    </w:p>
    <w:p>
      <w:pPr>
        <w:spacing w:after="160" w:line="300"/>
      </w:pPr>
      <w:r>
        <w:rPr>
          <w:rFonts w:ascii="Calibri" w:cs="Calibri" w:eastAsia="Calibri" w:hAnsi="Calibri"/>
          <w:color w:val="3A3A3A"/>
          <w:sz w:val="22"/>
          <w:szCs w:val="22"/>
        </w:rPr>
        <w:t xml:space="preserve">Note: figures are current supplier estimates as at 2026 and may vary at time of purchase. For larger schools, a single 10,000-litre tank (approx. R14,799) can be combined with a 5,000-litre unit for 15,000L total capacity, or two 10,000-litre tanks for 20,000L capacity.</w:t>
      </w:r>
    </w:p>
    <w:p>
      <w:pPr>
        <w:pStyle w:val="Heading2"/>
        <w:spacing w:after="140" w:before="260"/>
      </w:pPr>
      <w:r>
        <w:rPr>
          <w:rFonts w:ascii="Calibri" w:cs="Calibri" w:eastAsia="Calibri" w:hAnsi="Calibri"/>
          <w:b/>
          <w:bCs/>
          <w:color w:val="3A3A3A"/>
          <w:sz w:val="24"/>
          <w:szCs w:val="24"/>
        </w:rPr>
        <w:t xml:space="preserve">6.2  Optional Add-On Costing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6350"/>
        <w:gridCol w:w="3000"/>
      </w:tblGrid>
      <w:tr>
        <w:tc>
          <w:tcPr>
            <w:tcW w:type="dxa" w:w="635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Add-On: Security Cage</w:t>
            </w:r>
          </w:p>
        </w:tc>
        <w:tc>
          <w:tcPr>
            <w:tcW w:type="dxa" w:w="30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Estimated Cost</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Fencing / poles (e.g. ClearView-type)</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R8,000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Awning</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R4,000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Locks</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Labour</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R2,000</w:t>
            </w:r>
          </w:p>
        </w:tc>
      </w:tr>
      <w:tr>
        <w:tc>
          <w:tcPr>
            <w:tcW w:type="dxa" w:w="6350"/>
            <w:shd w:fill="FBF6EE" w:val="clear"/>
            <w:tcMar>
              <w:top w:type="dxa" w:w="100"/>
              <w:left w:type="dxa" w:w="120"/>
              <w:bottom w:type="dxa" w:w="100"/>
              <w:right w:type="dxa" w:w="120"/>
            </w:tcMar>
          </w:tcPr>
          <w:p>
            <w:pPr>
              <w:jc w:val="left"/>
            </w:pPr>
            <w:r>
              <w:rPr>
                <w:rFonts w:ascii="Calibri" w:cs="Calibri" w:eastAsia="Calibri" w:hAnsi="Calibri"/>
                <w:b/>
                <w:bCs/>
                <w:color w:val="347643"/>
                <w:sz w:val="20"/>
                <w:szCs w:val="20"/>
              </w:rPr>
              <w:t xml:space="preserve">SUB-TOTAL</w:t>
            </w:r>
          </w:p>
        </w:tc>
        <w:tc>
          <w:tcPr>
            <w:tcW w:type="dxa" w:w="3000"/>
            <w:shd w:fill="FBF6EE" w:val="clear"/>
            <w:tcMar>
              <w:top w:type="dxa" w:w="100"/>
              <w:left w:type="dxa" w:w="120"/>
              <w:bottom w:type="dxa" w:w="100"/>
              <w:right w:type="dxa" w:w="120"/>
            </w:tcMar>
          </w:tcPr>
          <w:p>
            <w:pPr>
              <w:jc w:val="right"/>
            </w:pPr>
            <w:r>
              <w:rPr>
                <w:rFonts w:ascii="Calibri" w:cs="Calibri" w:eastAsia="Calibri" w:hAnsi="Calibri"/>
                <w:b/>
                <w:bCs/>
                <w:color w:val="347643"/>
                <w:sz w:val="20"/>
                <w:szCs w:val="20"/>
              </w:rPr>
              <w:t xml:space="preserve">R15,000</w:t>
            </w:r>
          </w:p>
        </w:tc>
      </w:tr>
    </w:tbl>
    <w:p>
      <w:pPr>
        <w:spacing w:after="160" w:line="300"/>
      </w:pPr>
      <w:r>
        <w:rPr>
          <w:rFonts w:ascii="Calibri" w:cs="Calibri" w:eastAsia="Calibri" w:hAnsi="Calibri"/>
          <w:color w:val="3A3A3A"/>
          <w:sz w:val="22"/>
          <w:szCs w:val="22"/>
        </w:rPr>
        <w:t xml:space="preserve">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6350"/>
        <w:gridCol w:w="3000"/>
      </w:tblGrid>
      <w:tr>
        <w:tc>
          <w:tcPr>
            <w:tcW w:type="dxa" w:w="635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Add-On: Rainwater Harvesting (toilets)</w:t>
            </w:r>
          </w:p>
        </w:tc>
        <w:tc>
          <w:tcPr>
            <w:tcW w:type="dxa" w:w="30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Estimated Cost</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Tanks — 2×5,000L or 4×2,500L</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R12,000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Base × 2</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R6,000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Pump 2.2kW with controller</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R16,000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Plumbing</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R10,000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Labour</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R10,000</w:t>
            </w:r>
          </w:p>
        </w:tc>
      </w:tr>
      <w:tr>
        <w:tc>
          <w:tcPr>
            <w:tcW w:type="dxa" w:w="6350"/>
            <w:shd w:fill="FBF6EE" w:val="clear"/>
            <w:tcMar>
              <w:top w:type="dxa" w:w="100"/>
              <w:left w:type="dxa" w:w="120"/>
              <w:bottom w:type="dxa" w:w="100"/>
              <w:right w:type="dxa" w:w="120"/>
            </w:tcMar>
          </w:tcPr>
          <w:p>
            <w:pPr>
              <w:jc w:val="left"/>
            </w:pPr>
            <w:r>
              <w:rPr>
                <w:rFonts w:ascii="Calibri" w:cs="Calibri" w:eastAsia="Calibri" w:hAnsi="Calibri"/>
                <w:b/>
                <w:bCs/>
                <w:color w:val="347643"/>
                <w:sz w:val="20"/>
                <w:szCs w:val="20"/>
              </w:rPr>
              <w:t xml:space="preserve">SUB-TOTAL</w:t>
            </w:r>
          </w:p>
        </w:tc>
        <w:tc>
          <w:tcPr>
            <w:tcW w:type="dxa" w:w="3000"/>
            <w:shd w:fill="FBF6EE" w:val="clear"/>
            <w:tcMar>
              <w:top w:type="dxa" w:w="100"/>
              <w:left w:type="dxa" w:w="120"/>
              <w:bottom w:type="dxa" w:w="100"/>
              <w:right w:type="dxa" w:w="120"/>
            </w:tcMar>
          </w:tcPr>
          <w:p>
            <w:pPr>
              <w:jc w:val="right"/>
            </w:pPr>
            <w:r>
              <w:rPr>
                <w:rFonts w:ascii="Calibri" w:cs="Calibri" w:eastAsia="Calibri" w:hAnsi="Calibri"/>
                <w:b/>
                <w:bCs/>
                <w:color w:val="347643"/>
                <w:sz w:val="20"/>
                <w:szCs w:val="20"/>
              </w:rPr>
              <w:t xml:space="preserve">R54,000</w:t>
            </w:r>
          </w:p>
        </w:tc>
      </w:tr>
    </w:tbl>
    <w:p>
      <w:pPr>
        <w:spacing w:after="160" w:line="300"/>
      </w:pPr>
      <w:r>
        <w:rPr>
          <w:rFonts w:ascii="Calibri" w:cs="Calibri" w:eastAsia="Calibri" w:hAnsi="Calibri"/>
          <w:color w:val="3A3A3A"/>
          <w:sz w:val="22"/>
          <w:szCs w:val="22"/>
        </w:rPr>
        <w:t xml:space="preserve">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6350"/>
        <w:gridCol w:w="3000"/>
      </w:tblGrid>
      <w:tr>
        <w:tc>
          <w:tcPr>
            <w:tcW w:type="dxa" w:w="635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Add-On: Water Filtration (2 outlets)</w:t>
            </w:r>
          </w:p>
        </w:tc>
        <w:tc>
          <w:tcPr>
            <w:tcW w:type="dxa" w:w="30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Estimated Cost</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Filter systems × 2</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R10,000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Plumbing</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R2,000</w:t>
            </w:r>
          </w:p>
        </w:tc>
      </w:tr>
      <w:tr>
        <w:tc>
          <w:tcPr>
            <w:tcW w:type="dxa" w:w="635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Labour</w:t>
            </w:r>
          </w:p>
        </w:tc>
        <w:tc>
          <w:tcPr>
            <w:tcW w:type="dxa" w:w="300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R4,000</w:t>
            </w:r>
          </w:p>
        </w:tc>
      </w:tr>
      <w:tr>
        <w:tc>
          <w:tcPr>
            <w:tcW w:type="dxa" w:w="6350"/>
            <w:shd w:fill="FBF6EE" w:val="clear"/>
            <w:tcMar>
              <w:top w:type="dxa" w:w="100"/>
              <w:left w:type="dxa" w:w="120"/>
              <w:bottom w:type="dxa" w:w="100"/>
              <w:right w:type="dxa" w:w="120"/>
            </w:tcMar>
          </w:tcPr>
          <w:p>
            <w:pPr>
              <w:jc w:val="left"/>
            </w:pPr>
            <w:r>
              <w:rPr>
                <w:rFonts w:ascii="Calibri" w:cs="Calibri" w:eastAsia="Calibri" w:hAnsi="Calibri"/>
                <w:b/>
                <w:bCs/>
                <w:color w:val="347643"/>
                <w:sz w:val="20"/>
                <w:szCs w:val="20"/>
              </w:rPr>
              <w:t xml:space="preserve">SUB-TOTAL</w:t>
            </w:r>
          </w:p>
        </w:tc>
        <w:tc>
          <w:tcPr>
            <w:tcW w:type="dxa" w:w="3000"/>
            <w:shd w:fill="FBF6EE" w:val="clear"/>
            <w:tcMar>
              <w:top w:type="dxa" w:w="100"/>
              <w:left w:type="dxa" w:w="120"/>
              <w:bottom w:type="dxa" w:w="100"/>
              <w:right w:type="dxa" w:w="120"/>
            </w:tcMar>
          </w:tcPr>
          <w:p>
            <w:pPr>
              <w:jc w:val="right"/>
            </w:pPr>
            <w:r>
              <w:rPr>
                <w:rFonts w:ascii="Calibri" w:cs="Calibri" w:eastAsia="Calibri" w:hAnsi="Calibri"/>
                <w:b/>
                <w:bCs/>
                <w:color w:val="347643"/>
                <w:sz w:val="20"/>
                <w:szCs w:val="20"/>
              </w:rPr>
              <w:t xml:space="preserve">R16,000</w:t>
            </w:r>
          </w:p>
        </w:tc>
      </w:tr>
    </w:tbl>
    <w:p>
      <w:pPr>
        <w:spacing w:after="160" w:line="300"/>
      </w:pPr>
      <w:r>
        <w:rPr>
          <w:rFonts w:ascii="Calibri" w:cs="Calibri" w:eastAsia="Calibri" w:hAnsi="Calibri"/>
          <w:color w:val="3A3A3A"/>
          <w:sz w:val="22"/>
          <w:szCs w:val="22"/>
        </w:rPr>
        <w:t xml:space="preserve"> </w:t>
      </w:r>
    </w:p>
    <w:p>
      <w:pPr>
        <w:spacing w:after="160" w:line="300"/>
      </w:pPr>
      <w:r>
        <w:rPr>
          <w:rFonts w:ascii="Calibri" w:cs="Calibri" w:eastAsia="Calibri" w:hAnsi="Calibri"/>
          <w:color w:val="3A3A3A"/>
          <w:sz w:val="22"/>
          <w:szCs w:val="22"/>
        </w:rPr>
        <w:t xml:space="preserve">Note on filtration: ongoing running costs can be minimised by specifying a permanent / low-maintenance filtration system rather than one requiring regular cartridge replacement, where budget allows.</w:t>
      </w:r>
    </w:p>
    <w:p>
      <w:pPr>
        <w:pStyle w:val="Heading2"/>
        <w:spacing w:after="140" w:before="260"/>
      </w:pPr>
      <w:r>
        <w:rPr>
          <w:rFonts w:ascii="Calibri" w:cs="Calibri" w:eastAsia="Calibri" w:hAnsi="Calibri"/>
          <w:b/>
          <w:bCs/>
          <w:color w:val="3A3A3A"/>
          <w:sz w:val="24"/>
          <w:szCs w:val="24"/>
        </w:rPr>
        <w:t xml:space="preserve">6.3  Sponsorship Tiers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5150"/>
      </w:tblGrid>
      <w:tr>
        <w:tc>
          <w:tcPr>
            <w:tcW w:type="dxa" w:w="22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Tier</w:t>
            </w:r>
          </w:p>
        </w:tc>
        <w:tc>
          <w:tcPr>
            <w:tcW w:type="dxa" w:w="20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Investment</w:t>
            </w:r>
          </w:p>
        </w:tc>
        <w:tc>
          <w:tcPr>
            <w:tcW w:type="dxa" w:w="515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Coverage</w:t>
            </w:r>
          </w:p>
        </w:tc>
      </w:tr>
      <w:tr>
        <w:tc>
          <w:tcPr>
            <w:tcW w:type="dxa" w:w="22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Single School</w:t>
            </w:r>
          </w:p>
        </w:tc>
        <w:tc>
          <w:tcPr>
            <w:tcW w:type="dxa" w:w="20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R50,000</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Fully funds one school's core backup water system.</w:t>
            </w:r>
          </w:p>
        </w:tc>
      </w:tr>
      <w:tr>
        <w:tc>
          <w:tcPr>
            <w:tcW w:type="dxa" w:w="22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5 Schools</w:t>
            </w:r>
          </w:p>
        </w:tc>
        <w:tc>
          <w:tcPr>
            <w:tcW w:type="dxa" w:w="20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R250,000</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Corporate-level commitment; branding across five schools.</w:t>
            </w:r>
          </w:p>
        </w:tc>
      </w:tr>
      <w:tr>
        <w:tc>
          <w:tcPr>
            <w:tcW w:type="dxa" w:w="22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10 Schools</w:t>
            </w:r>
          </w:p>
        </w:tc>
        <w:tc>
          <w:tcPr>
            <w:tcW w:type="dxa" w:w="20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R500,000</w:t>
            </w:r>
          </w:p>
        </w:tc>
        <w:tc>
          <w:tcPr>
            <w:tcW w:type="dxa" w:w="51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For major business and international funding partners.</w:t>
            </w:r>
          </w:p>
        </w:tc>
      </w:tr>
    </w:tbl>
    <w:p>
      <w:pPr>
        <w:spacing w:after="160" w:line="300"/>
      </w:pPr>
      <w:r>
        <w:rPr>
          <w:rFonts w:ascii="Calibri" w:cs="Calibri" w:eastAsia="Calibri" w:hAnsi="Calibri"/>
          <w:color w:val="3A3A3A"/>
          <w:sz w:val="22"/>
          <w:szCs w:val="22"/>
        </w:rPr>
        <w:t xml:space="preserve"> </w:t>
      </w:r>
    </w:p>
    <w:p>
      <w:pPr>
        <w:spacing w:after="160" w:line="300"/>
      </w:pPr>
      <w:r>
        <w:rPr>
          <w:rFonts w:ascii="Calibri" w:cs="Calibri" w:eastAsia="Calibri" w:hAnsi="Calibri"/>
          <w:color w:val="3A3A3A"/>
          <w:sz w:val="22"/>
          <w:szCs w:val="22"/>
        </w:rPr>
        <w:t xml:space="preserve">Sponsors are listed on the SSBF website and receive on-site branding at every school they fund. In-kind sponsorship of materials (tanks, pumps, piping and related hardware) is equally welcomed.</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7.  Funding Strategy</w:t>
      </w:r>
    </w:p>
    <w:p>
      <w:pPr>
        <w:spacing w:after="160" w:line="300"/>
      </w:pPr>
      <w:r>
        <w:rPr>
          <w:rFonts w:ascii="Calibri" w:cs="Calibri" w:eastAsia="Calibri" w:hAnsi="Calibri"/>
          <w:color w:val="3A3A3A"/>
          <w:sz w:val="22"/>
          <w:szCs w:val="22"/>
        </w:rPr>
        <w:t xml:space="preserve">SSBF will pursue a diversified funding strategy to ensure the sustainability of the Water for Schools project and future phases:</w:t>
      </w:r>
    </w:p>
    <w:p>
      <w:pPr>
        <w:pStyle w:val="ListParagraph"/>
        <w:numPr>
          <w:ilvl w:val="0"/>
          <w:numId w:val="2"/>
        </w:numPr>
        <w:spacing w:after="90"/>
      </w:pPr>
      <w:r>
        <w:rPr>
          <w:rFonts w:ascii="Calibri" w:cs="Calibri" w:eastAsia="Calibri" w:hAnsi="Calibri"/>
          <w:color w:val="3A3A3A"/>
          <w:sz w:val="22"/>
          <w:szCs w:val="22"/>
        </w:rPr>
        <w:t xml:space="preserve">Corporate &amp; Business: major retailers, banks, insurers, motor industry companies, food and beverage businesses, and other companies with clients or operations in Phoenix. Phoenix carries significant disposable income relative to its history — for example, local retail stores have consistently ranked among the highest-turnover branches nationally — making it a commercially meaningful market for corporate partners, not solely a beneficiary of charity.</w:t>
      </w:r>
    </w:p>
    <w:p>
      <w:pPr>
        <w:pStyle w:val="ListParagraph"/>
        <w:numPr>
          <w:ilvl w:val="0"/>
          <w:numId w:val="2"/>
        </w:numPr>
        <w:spacing w:after="90"/>
      </w:pPr>
      <w:r>
        <w:rPr>
          <w:rFonts w:ascii="Calibri" w:cs="Calibri" w:eastAsia="Calibri" w:hAnsi="Calibri"/>
          <w:color w:val="3A3A3A"/>
          <w:sz w:val="22"/>
          <w:szCs w:val="22"/>
        </w:rPr>
        <w:t xml:space="preserve">Materials &amp; Trade Sponsors: tank, pump and hardware manufacturers, wholesalers and retailers, approached for cash or in-kind sponsorship of the specific components their business supplies.</w:t>
      </w:r>
    </w:p>
    <w:p>
      <w:pPr>
        <w:pStyle w:val="ListParagraph"/>
        <w:numPr>
          <w:ilvl w:val="0"/>
          <w:numId w:val="2"/>
        </w:numPr>
        <w:spacing w:after="90"/>
      </w:pPr>
      <w:r>
        <w:rPr>
          <w:rFonts w:ascii="Calibri" w:cs="Calibri" w:eastAsia="Calibri" w:hAnsi="Calibri"/>
          <w:color w:val="3A3A3A"/>
          <w:sz w:val="22"/>
          <w:szCs w:val="22"/>
        </w:rPr>
        <w:t xml:space="preserve">International Funding: global foundations, technology companies and development funders with an interest in education infrastructure and water, sanitation and hygiene (WASH) initiatives.</w:t>
      </w:r>
    </w:p>
    <w:p>
      <w:pPr>
        <w:pStyle w:val="ListParagraph"/>
        <w:numPr>
          <w:ilvl w:val="0"/>
          <w:numId w:val="2"/>
        </w:numPr>
        <w:spacing w:after="90"/>
      </w:pPr>
      <w:r>
        <w:rPr>
          <w:rFonts w:ascii="Calibri" w:cs="Calibri" w:eastAsia="Calibri" w:hAnsi="Calibri"/>
          <w:color w:val="3A3A3A"/>
          <w:sz w:val="22"/>
          <w:szCs w:val="22"/>
        </w:rPr>
        <w:t xml:space="preserve">Community &amp; Individual Donors: direct donations via the SSBF website and social media channels.</w:t>
      </w:r>
    </w:p>
    <w:p>
      <w:pPr>
        <w:pStyle w:val="ListParagraph"/>
        <w:numPr>
          <w:ilvl w:val="0"/>
          <w:numId w:val="2"/>
        </w:numPr>
        <w:spacing w:after="90"/>
      </w:pPr>
      <w:r>
        <w:rPr>
          <w:rFonts w:ascii="Calibri" w:cs="Calibri" w:eastAsia="Calibri" w:hAnsi="Calibri"/>
          <w:color w:val="3A3A3A"/>
          <w:sz w:val="22"/>
          <w:szCs w:val="22"/>
        </w:rPr>
        <w:t xml:space="preserve">Media Partners: local publications donating advertising space to raise awareness, recruit volunteers and highlight funding needs.</w:t>
      </w:r>
    </w:p>
    <w:p>
      <w:pPr>
        <w:pStyle w:val="ListParagraph"/>
        <w:numPr>
          <w:ilvl w:val="0"/>
          <w:numId w:val="2"/>
        </w:numPr>
        <w:spacing w:after="90"/>
      </w:pPr>
      <w:r>
        <w:rPr>
          <w:rFonts w:ascii="Calibri" w:cs="Calibri" w:eastAsia="Calibri" w:hAnsi="Calibri"/>
          <w:color w:val="3A3A3A"/>
          <w:sz w:val="22"/>
          <w:szCs w:val="22"/>
        </w:rPr>
        <w:t xml:space="preserve">Outdoor Advertising (future / Phase 6): SSBF plans to erect digital billboards and street-pole advertising sites, generating an ongoing revenue stream for the Foundation's running costs while dedicating a portion of airtime to community awareness.</w:t>
      </w:r>
    </w:p>
    <w:p>
      <w:pPr>
        <w:spacing w:after="160" w:line="300"/>
      </w:pPr>
      <w:r>
        <w:rPr>
          <w:rFonts w:ascii="Calibri" w:cs="Calibri" w:eastAsia="Calibri" w:hAnsi="Calibri"/>
          <w:color w:val="3A3A3A"/>
          <w:sz w:val="22"/>
          <w:szCs w:val="22"/>
        </w:rPr>
        <w:t xml:space="preserve">Each prospective funder will receive a tailored proposal outlining the specific, measurable benefits of their support — improved community pride and safety, brand visibility with the next generation of Phoenix consumers and professionals, and demonstrable social impact reporting.</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8.  Governance, Risk &amp; Sustainability</w:t>
      </w:r>
    </w:p>
    <w:p>
      <w:pPr>
        <w:pStyle w:val="Heading2"/>
        <w:spacing w:after="140" w:before="260"/>
      </w:pPr>
      <w:r>
        <w:rPr>
          <w:rFonts w:ascii="Calibri" w:cs="Calibri" w:eastAsia="Calibri" w:hAnsi="Calibri"/>
          <w:b/>
          <w:bCs/>
          <w:color w:val="3A3A3A"/>
          <w:sz w:val="24"/>
          <w:szCs w:val="24"/>
        </w:rPr>
        <w:t xml:space="preserve">8.1  Governance &amp; Financial Management</w:t>
      </w:r>
    </w:p>
    <w:p>
      <w:pPr>
        <w:pStyle w:val="ListParagraph"/>
        <w:numPr>
          <w:ilvl w:val="0"/>
          <w:numId w:val="2"/>
        </w:numPr>
        <w:spacing w:after="90"/>
      </w:pPr>
      <w:r>
        <w:rPr>
          <w:rFonts w:ascii="Calibri" w:cs="Calibri" w:eastAsia="Calibri" w:hAnsi="Calibri"/>
          <w:color w:val="3A3A3A"/>
          <w:sz w:val="22"/>
          <w:szCs w:val="22"/>
        </w:rPr>
        <w:t xml:space="preserve">SSBF is governed by a founding board with community and professional representation.</w:t>
      </w:r>
    </w:p>
    <w:p>
      <w:pPr>
        <w:pStyle w:val="ListParagraph"/>
        <w:numPr>
          <w:ilvl w:val="0"/>
          <w:numId w:val="2"/>
        </w:numPr>
        <w:spacing w:after="90"/>
      </w:pPr>
      <w:r>
        <w:rPr>
          <w:rFonts w:ascii="Calibri" w:cs="Calibri" w:eastAsia="Calibri" w:hAnsi="Calibri"/>
          <w:color w:val="3A3A3A"/>
          <w:sz w:val="22"/>
          <w:szCs w:val="22"/>
        </w:rPr>
        <w:t xml:space="preserve">Independent bookkeeping and annual auditing will be established as funding allows, ensuring transparent reporting to sponsors, donors and regulators.</w:t>
      </w:r>
    </w:p>
    <w:p>
      <w:pPr>
        <w:pStyle w:val="ListParagraph"/>
        <w:numPr>
          <w:ilvl w:val="0"/>
          <w:numId w:val="2"/>
        </w:numPr>
        <w:spacing w:after="90"/>
      </w:pPr>
      <w:r>
        <w:rPr>
          <w:rFonts w:ascii="Calibri" w:cs="Calibri" w:eastAsia="Calibri" w:hAnsi="Calibri"/>
          <w:color w:val="3A3A3A"/>
          <w:sz w:val="22"/>
          <w:szCs w:val="22"/>
        </w:rPr>
        <w:t xml:space="preserve">PBO / Section 18A registration is in progress with SARS to enable tax-deductible donations from South African taxpayers.</w:t>
      </w:r>
    </w:p>
    <w:p>
      <w:pPr>
        <w:pStyle w:val="Heading2"/>
        <w:spacing w:after="140" w:before="260"/>
      </w:pPr>
      <w:r>
        <w:rPr>
          <w:rFonts w:ascii="Calibri" w:cs="Calibri" w:eastAsia="Calibri" w:hAnsi="Calibri"/>
          <w:b/>
          <w:bCs/>
          <w:color w:val="3A3A3A"/>
          <w:sz w:val="24"/>
          <w:szCs w:val="24"/>
        </w:rPr>
        <w:t xml:space="preserve">8.2  Key Risks &amp; Mitigations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00"/>
        <w:gridCol w:w="6050"/>
      </w:tblGrid>
      <w:tr>
        <w:tc>
          <w:tcPr>
            <w:tcW w:type="dxa" w:w="330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Risk</w:t>
            </w:r>
          </w:p>
        </w:tc>
        <w:tc>
          <w:tcPr>
            <w:tcW w:type="dxa" w:w="6050"/>
            <w:shd w:fill="347643" w:val="clear"/>
            <w:tcMar>
              <w:top w:type="dxa" w:w="100"/>
              <w:left w:type="dxa" w:w="120"/>
              <w:bottom w:type="dxa" w:w="100"/>
              <w:right w:type="dxa" w:w="120"/>
            </w:tcMar>
          </w:tcPr>
          <w:p>
            <w:pPr>
              <w:jc w:val="left"/>
            </w:pPr>
            <w:r>
              <w:rPr>
                <w:rFonts w:ascii="Calibri" w:cs="Calibri" w:eastAsia="Calibri" w:hAnsi="Calibri"/>
                <w:b/>
                <w:bCs/>
                <w:color w:val="FFFFFF"/>
                <w:sz w:val="20"/>
                <w:szCs w:val="20"/>
              </w:rPr>
              <w:t xml:space="preserve">Mitigation</w:t>
            </w:r>
          </w:p>
        </w:tc>
      </w:tr>
      <w:tr>
        <w:tc>
          <w:tcPr>
            <w:tcW w:type="dxa" w:w="33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Funding shortfalls delaying installations</w:t>
            </w:r>
          </w:p>
        </w:tc>
        <w:tc>
          <w:tcPr>
            <w:tcW w:type="dxa" w:w="60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Diversified funding strategy across corporate, individual and international sources; phased roll-out matched to secured funding.</w:t>
            </w:r>
          </w:p>
        </w:tc>
      </w:tr>
      <w:tr>
        <w:tc>
          <w:tcPr>
            <w:tcW w:type="dxa" w:w="33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Vandalism or theft of installed equipment</w:t>
            </w:r>
          </w:p>
        </w:tc>
        <w:tc>
          <w:tcPr>
            <w:tcW w:type="dxa" w:w="60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Optional security cage add-on; MOU commitments from schools; community stakeholder buy-in.</w:t>
            </w:r>
          </w:p>
        </w:tc>
      </w:tr>
      <w:tr>
        <w:tc>
          <w:tcPr>
            <w:tcW w:type="dxa" w:w="33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Ongoing maintenance requirements</w:t>
            </w:r>
          </w:p>
        </w:tc>
        <w:tc>
          <w:tcPr>
            <w:tcW w:type="dxa" w:w="60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Quarterly maintenance check-ins; preference for low-maintenance components (e.g. permanent filtration where budget allows).</w:t>
            </w:r>
          </w:p>
        </w:tc>
      </w:tr>
      <w:tr>
        <w:tc>
          <w:tcPr>
            <w:tcW w:type="dxa" w:w="3300"/>
            <w:tcMar>
              <w:top w:type="dxa" w:w="100"/>
              <w:left w:type="dxa" w:w="120"/>
              <w:bottom w:type="dxa" w:w="100"/>
              <w:right w:type="dxa" w:w="120"/>
            </w:tcMar>
          </w:tcPr>
          <w:p>
            <w:pPr>
              <w:jc w:val="left"/>
            </w:pPr>
            <w:r>
              <w:rPr>
                <w:rFonts w:ascii="Calibri" w:cs="Calibri" w:eastAsia="Calibri" w:hAnsi="Calibri"/>
                <w:b w:val="false"/>
                <w:bCs w:val="false"/>
                <w:color w:val="3A3A3A"/>
                <w:sz w:val="20"/>
                <w:szCs w:val="20"/>
              </w:rPr>
              <w:t xml:space="preserve">Municipal infrastructure changes</w:t>
            </w:r>
          </w:p>
        </w:tc>
        <w:tc>
          <w:tcPr>
            <w:tcW w:type="dxa" w:w="6050"/>
            <w:tcMar>
              <w:top w:type="dxa" w:w="100"/>
              <w:left w:type="dxa" w:w="120"/>
              <w:bottom w:type="dxa" w:w="100"/>
              <w:right w:type="dxa" w:w="120"/>
            </w:tcMar>
          </w:tcPr>
          <w:p>
            <w:pPr>
              <w:jc w:val="right"/>
            </w:pPr>
            <w:r>
              <w:rPr>
                <w:rFonts w:ascii="Calibri" w:cs="Calibri" w:eastAsia="Calibri" w:hAnsi="Calibri"/>
                <w:b w:val="false"/>
                <w:bCs w:val="false"/>
                <w:color w:val="3A3A3A"/>
                <w:sz w:val="20"/>
                <w:szCs w:val="20"/>
              </w:rPr>
              <w:t xml:space="preserve">System is designed as an independent backup, functioning regardless of municipal supply status.</w:t>
            </w:r>
          </w:p>
        </w:tc>
      </w:tr>
    </w:tbl>
    <w:p>
      <w:pPr>
        <w:spacing w:after="160" w:line="300"/>
      </w:pPr>
      <w:r>
        <w:rPr>
          <w:rFonts w:ascii="Calibri" w:cs="Calibri" w:eastAsia="Calibri" w:hAnsi="Calibri"/>
          <w:color w:val="3A3A3A"/>
          <w:sz w:val="22"/>
          <w:szCs w:val="22"/>
        </w:rPr>
        <w:t xml:space="preserve"> </w:t>
      </w:r>
    </w:p>
    <w:p>
      <w:pPr>
        <w:pStyle w:val="Heading2"/>
        <w:spacing w:after="140" w:before="260"/>
      </w:pPr>
      <w:r>
        <w:rPr>
          <w:rFonts w:ascii="Calibri" w:cs="Calibri" w:eastAsia="Calibri" w:hAnsi="Calibri"/>
          <w:b/>
          <w:bCs/>
          <w:color w:val="3A3A3A"/>
          <w:sz w:val="24"/>
          <w:szCs w:val="24"/>
        </w:rPr>
        <w:t xml:space="preserve">8.3  Sustainability</w:t>
      </w:r>
    </w:p>
    <w:p>
      <w:pPr>
        <w:spacing w:after="160" w:line="300"/>
      </w:pPr>
      <w:r>
        <w:rPr>
          <w:rFonts w:ascii="Calibri" w:cs="Calibri" w:eastAsia="Calibri" w:hAnsi="Calibri"/>
          <w:color w:val="3A3A3A"/>
          <w:sz w:val="22"/>
          <w:szCs w:val="22"/>
        </w:rPr>
        <w:t xml:space="preserve">Each installation is intended as durable, long-term infrastructure — not a once-off intervention. Schools sign an MOU committing to opt in to future SSBF pilot projects, creating a foundation of trust and continuity for Phase 2 (Solar for Schools) and beyond. As the Foundation grows, dedicated administrative, bookkeeping and communications capacity will be established to manage an expanding portfolio of schools and sponsors.</w:t>
      </w:r>
    </w:p>
    <w:p>
      <w:r>
        <w:br w:type="page"/>
      </w:r>
    </w:p>
    <w:p>
      <w:pPr>
        <w:pStyle w:val="Heading1"/>
        <w:pBdr>
          <w:bottom w:val="single" w:color="347643" w:sz="8" w:space="4"/>
        </w:pBdr>
        <w:spacing w:after="200" w:before="400"/>
      </w:pPr>
      <w:r>
        <w:rPr>
          <w:rFonts w:ascii="Calibri" w:cs="Calibri" w:eastAsia="Calibri" w:hAnsi="Calibri"/>
          <w:b/>
          <w:bCs/>
          <w:color w:val="347643"/>
          <w:sz w:val="30"/>
          <w:szCs w:val="30"/>
        </w:rPr>
        <w:t xml:space="preserve">9.  Conclusion &amp; Call to Action</w:t>
      </w:r>
    </w:p>
    <w:p>
      <w:pPr>
        <w:spacing w:after="160" w:line="300"/>
      </w:pPr>
      <w:r>
        <w:rPr>
          <w:rFonts w:ascii="Calibri" w:cs="Calibri" w:eastAsia="Calibri" w:hAnsi="Calibri"/>
          <w:color w:val="3A3A3A"/>
          <w:sz w:val="22"/>
          <w:szCs w:val="22"/>
        </w:rPr>
        <w:t xml:space="preserve">Water is the foundation every other part of a child's education depends on. Without it, schools cannot open safely, learners cannot concentrate, and years of hard-won progress in literacy and numeracy are put at risk. The Water for Schools project offers a practical, fundable, and immediately implementable solution to one of the most disruptive challenges facing Phoenix schools today.</w:t>
      </w:r>
    </w:p>
    <w:p>
      <w:pPr>
        <w:spacing w:after="160" w:line="300"/>
      </w:pPr>
      <w:r>
        <w:rPr>
          <w:rFonts w:ascii="Calibri" w:cs="Calibri" w:eastAsia="Calibri" w:hAnsi="Calibri"/>
          <w:color w:val="3A3A3A"/>
          <w:sz w:val="22"/>
          <w:szCs w:val="22"/>
        </w:rPr>
        <w:t xml:space="preserve">SSBF invites schools, businesses, community members and funding partners to join this first phase of a longer journey to rebuild Phoenix from the ground up.</w:t>
      </w:r>
    </w:p>
    <w:p>
      <w:pPr>
        <w:spacing w:after="80" w:before="200"/>
      </w:pPr>
      <w:r>
        <w:rPr>
          <w:rFonts w:ascii="Calibri" w:cs="Calibri" w:eastAsia="Calibri" w:hAnsi="Calibri"/>
          <w:b/>
          <w:bCs/>
          <w:color w:val="347643"/>
          <w:sz w:val="22"/>
          <w:szCs w:val="22"/>
        </w:rPr>
        <w:t xml:space="preserve">Schools:</w:t>
      </w:r>
      <w:r>
        <w:rPr>
          <w:rFonts w:ascii="Calibri" w:cs="Calibri" w:eastAsia="Calibri" w:hAnsi="Calibri"/>
          <w:color w:val="3A3A3A"/>
          <w:sz w:val="22"/>
          <w:szCs w:val="22"/>
        </w:rPr>
        <w:t xml:space="preserve">  Register your interest via our website or by contacting us directly.</w:t>
      </w:r>
    </w:p>
    <w:p>
      <w:pPr>
        <w:spacing w:after="80"/>
      </w:pPr>
      <w:r>
        <w:rPr>
          <w:rFonts w:ascii="Calibri" w:cs="Calibri" w:eastAsia="Calibri" w:hAnsi="Calibri"/>
          <w:b/>
          <w:bCs/>
          <w:color w:val="347643"/>
          <w:sz w:val="22"/>
          <w:szCs w:val="22"/>
        </w:rPr>
        <w:t xml:space="preserve">Businesses &amp; Sponsors:</w:t>
      </w:r>
      <w:r>
        <w:rPr>
          <w:rFonts w:ascii="Calibri" w:cs="Calibri" w:eastAsia="Calibri" w:hAnsi="Calibri"/>
          <w:color w:val="3A3A3A"/>
          <w:sz w:val="22"/>
          <w:szCs w:val="22"/>
        </w:rPr>
        <w:t xml:space="preserve">  Sponsor a school from R50,000, with on-site branding and public recognition.</w:t>
      </w:r>
    </w:p>
    <w:p>
      <w:pPr>
        <w:spacing w:after="200"/>
      </w:pPr>
      <w:r>
        <w:rPr>
          <w:rFonts w:ascii="Calibri" w:cs="Calibri" w:eastAsia="Calibri" w:hAnsi="Calibri"/>
          <w:b/>
          <w:bCs/>
          <w:color w:val="347643"/>
          <w:sz w:val="22"/>
          <w:szCs w:val="22"/>
        </w:rPr>
        <w:t xml:space="preserve">Community &amp; Individuals:</w:t>
      </w:r>
      <w:r>
        <w:rPr>
          <w:rFonts w:ascii="Calibri" w:cs="Calibri" w:eastAsia="Calibri" w:hAnsi="Calibri"/>
          <w:color w:val="3A3A3A"/>
          <w:sz w:val="22"/>
          <w:szCs w:val="22"/>
        </w:rPr>
        <w:t xml:space="preserve">  Subscribe, volunteer or donate at simunyesatya.org.</w:t>
      </w:r>
    </w:p>
    <w:p>
      <w:pPr>
        <w:pBdr>
          <w:top w:val="single" w:color="D9D6CF" w:sz="6" w:space="8"/>
        </w:pBdr>
        <w:spacing w:before="300"/>
      </w:pPr>
    </w:p>
    <w:p>
      <w:pPr>
        <w:spacing w:before="200"/>
      </w:pPr>
      <w:r>
        <w:rPr>
          <w:rFonts w:ascii="Calibri" w:cs="Calibri" w:eastAsia="Calibri" w:hAnsi="Calibri"/>
          <w:b/>
          <w:bCs/>
          <w:color w:val="3A3A3A"/>
          <w:sz w:val="24"/>
          <w:szCs w:val="24"/>
        </w:rPr>
        <w:t xml:space="preserve">Contact</w:t>
      </w:r>
    </w:p>
    <w:p>
      <w:pPr>
        <w:spacing w:after="160" w:line="300"/>
      </w:pPr>
      <w:r>
        <w:rPr>
          <w:rFonts w:ascii="Calibri" w:cs="Calibri" w:eastAsia="Calibri" w:hAnsi="Calibri"/>
          <w:color w:val="3A3A3A"/>
          <w:sz w:val="22"/>
          <w:szCs w:val="22"/>
        </w:rPr>
        <w:t xml:space="preserve">Simunye Satya Bharat Foundation (SSBF)</w:t>
      </w:r>
    </w:p>
    <w:p>
      <w:pPr>
        <w:spacing w:after="160" w:line="300"/>
      </w:pPr>
      <w:r>
        <w:rPr>
          <w:rFonts w:ascii="Calibri" w:cs="Calibri" w:eastAsia="Calibri" w:hAnsi="Calibri"/>
          <w:color w:val="3A3A3A"/>
          <w:sz w:val="22"/>
          <w:szCs w:val="22"/>
        </w:rPr>
        <w:t xml:space="preserve">Email: info@simunyesatya.org</w:t>
      </w:r>
    </w:p>
    <w:p>
      <w:pPr>
        <w:spacing w:after="160" w:line="300"/>
      </w:pPr>
      <w:r>
        <w:rPr>
          <w:rFonts w:ascii="Calibri" w:cs="Calibri" w:eastAsia="Calibri" w:hAnsi="Calibri"/>
          <w:color w:val="3A3A3A"/>
          <w:sz w:val="22"/>
          <w:szCs w:val="22"/>
        </w:rPr>
        <w:t xml:space="preserve">WhatsApp / Call: +27 83 799 3490</w:t>
      </w:r>
    </w:p>
    <w:p>
      <w:pPr>
        <w:spacing w:after="160" w:line="300"/>
      </w:pPr>
      <w:r>
        <w:rPr>
          <w:rFonts w:ascii="Calibri" w:cs="Calibri" w:eastAsia="Calibri" w:hAnsi="Calibri"/>
          <w:color w:val="3A3A3A"/>
          <w:sz w:val="22"/>
          <w:szCs w:val="22"/>
        </w:rPr>
        <w:t xml:space="preserve">Address: The Centenary, 30 Meridian Drive, Umhlanga, 4319 (by appointment only)</w:t>
      </w:r>
    </w:p>
    <w:p>
      <w:pPr>
        <w:spacing w:after="160" w:line="300"/>
      </w:pPr>
      <w:r>
        <w:rPr>
          <w:rFonts w:ascii="Calibri" w:cs="Calibri" w:eastAsia="Calibri" w:hAnsi="Calibri"/>
          <w:color w:val="3A3A3A"/>
          <w:sz w:val="22"/>
          <w:szCs w:val="22"/>
        </w:rPr>
        <w:t xml:space="preserve">Website: simunyesatya.org</w:t>
      </w:r>
    </w:p>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C6C6C"/>
        <w:sz w:val="16"/>
        <w:szCs w:val="16"/>
      </w:rPr>
      <w:t xml:space="preserve">Page </w:t>
    </w:r>
    <w:r>
      <w:rPr>
        <w:rFonts w:ascii="Calibri" w:cs="Calibri" w:eastAsia="Calibri" w:hAnsi="Calibri"/>
        <w:color w:val="6C6C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C6C6C"/>
        <w:sz w:val="16"/>
        <w:szCs w:val="16"/>
      </w:rPr>
      <w:t xml:space="preserve">SSBF — Water for Schools Business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2026-09-17T11:49:42.564Z</dcterms:created>
  <dcterms:modified xsi:type="dcterms:W3CDTF">2026-09-17T11:49:42.564Z</dcterms:modified>
</cp:coreProperties>
</file>

<file path=docProps/custom.xml><?xml version="1.0" encoding="utf-8"?>
<Properties xmlns="http://schemas.openxmlformats.org/officeDocument/2006/custom-properties" xmlns:vt="http://schemas.openxmlformats.org/officeDocument/2006/docPropsVTypes"/>
</file>